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587A5" w14:textId="77777777" w:rsidR="00D5547E" w:rsidRPr="003A6895" w:rsidRDefault="00D5547E" w:rsidP="00C06C57">
      <w:pPr>
        <w:tabs>
          <w:tab w:val="left" w:pos="3830"/>
        </w:tabs>
        <w:ind w:firstLine="284"/>
        <w:rPr>
          <w:b/>
          <w:sz w:val="28"/>
        </w:rPr>
      </w:pPr>
    </w:p>
    <w:tbl>
      <w:tblPr>
        <w:tblW w:w="0" w:type="auto"/>
        <w:tblInd w:w="108" w:type="dxa"/>
        <w:tblLayout w:type="fixed"/>
        <w:tblLook w:val="04A0" w:firstRow="1" w:lastRow="0" w:firstColumn="1" w:lastColumn="0" w:noHBand="0" w:noVBand="1"/>
      </w:tblPr>
      <w:tblGrid>
        <w:gridCol w:w="2438"/>
        <w:gridCol w:w="6406"/>
      </w:tblGrid>
      <w:tr w:rsidR="00CE544A" w:rsidRPr="00975B07" w14:paraId="368D9D9B" w14:textId="77777777" w:rsidTr="005F7F7E">
        <w:tc>
          <w:tcPr>
            <w:tcW w:w="2438" w:type="dxa"/>
            <w:shd w:val="clear" w:color="auto" w:fill="auto"/>
          </w:tcPr>
          <w:p w14:paraId="31F196C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C319E2B" w14:textId="77777777" w:rsidR="00F445B1" w:rsidRPr="00F95BC9" w:rsidRDefault="00F445B1" w:rsidP="00F6310A">
            <w:pPr>
              <w:rPr>
                <w:rStyle w:val="Firstpagetablebold"/>
              </w:rPr>
            </w:pPr>
            <w:r w:rsidRPr="00F95BC9">
              <w:rPr>
                <w:rStyle w:val="Firstpagetablebold"/>
              </w:rPr>
              <w:t>C</w:t>
            </w:r>
            <w:r w:rsidR="00F6310A">
              <w:rPr>
                <w:rStyle w:val="Firstpagetablebold"/>
              </w:rPr>
              <w:t>ouncil</w:t>
            </w:r>
          </w:p>
        </w:tc>
      </w:tr>
      <w:tr w:rsidR="00CE544A" w:rsidRPr="00975B07" w14:paraId="7BD8DD2B" w14:textId="77777777" w:rsidTr="005F7F7E">
        <w:tc>
          <w:tcPr>
            <w:tcW w:w="2438" w:type="dxa"/>
            <w:shd w:val="clear" w:color="auto" w:fill="auto"/>
          </w:tcPr>
          <w:p w14:paraId="71E40FC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53F637F" w14:textId="77777777" w:rsidR="00F445B1" w:rsidRPr="001356F1" w:rsidRDefault="00593E50" w:rsidP="00C51932">
            <w:pPr>
              <w:rPr>
                <w:b/>
              </w:rPr>
            </w:pPr>
            <w:r w:rsidRPr="00593E50">
              <w:rPr>
                <w:rStyle w:val="Firstpagetablebold"/>
                <w:color w:val="auto"/>
              </w:rPr>
              <w:t>20 March 2023</w:t>
            </w:r>
          </w:p>
        </w:tc>
      </w:tr>
      <w:tr w:rsidR="00CE544A" w:rsidRPr="00975B07" w14:paraId="71B21394" w14:textId="77777777" w:rsidTr="005F7F7E">
        <w:tc>
          <w:tcPr>
            <w:tcW w:w="2438" w:type="dxa"/>
            <w:shd w:val="clear" w:color="auto" w:fill="auto"/>
          </w:tcPr>
          <w:p w14:paraId="49A9B94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F34A531" w14:textId="77777777" w:rsidR="00F445B1" w:rsidRPr="001356F1" w:rsidRDefault="00F6310A" w:rsidP="004A6D2F">
            <w:pPr>
              <w:rPr>
                <w:rStyle w:val="Firstpagetablebold"/>
              </w:rPr>
            </w:pPr>
            <w:r>
              <w:rPr>
                <w:rStyle w:val="Firstpagetablebold"/>
              </w:rPr>
              <w:t>Head of Law and Governance</w:t>
            </w:r>
          </w:p>
        </w:tc>
      </w:tr>
      <w:tr w:rsidR="00CE544A" w:rsidRPr="00975B07" w14:paraId="5FFBEFEB" w14:textId="77777777" w:rsidTr="005F7F7E">
        <w:tc>
          <w:tcPr>
            <w:tcW w:w="2438" w:type="dxa"/>
            <w:shd w:val="clear" w:color="auto" w:fill="auto"/>
          </w:tcPr>
          <w:p w14:paraId="57A5F93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557AFB2" w14:textId="77777777" w:rsidR="00F445B1" w:rsidRPr="001356F1" w:rsidRDefault="00F6310A" w:rsidP="001D0B31">
            <w:pPr>
              <w:rPr>
                <w:rStyle w:val="Firstpagetablebold"/>
              </w:rPr>
            </w:pPr>
            <w:r>
              <w:rPr>
                <w:rStyle w:val="Firstpagetablebold"/>
              </w:rPr>
              <w:t xml:space="preserve">Constitution Review </w:t>
            </w:r>
            <w:r w:rsidR="00607003">
              <w:rPr>
                <w:rStyle w:val="Firstpagetablebold"/>
              </w:rPr>
              <w:t>202</w:t>
            </w:r>
            <w:r w:rsidR="001D0B31">
              <w:rPr>
                <w:rStyle w:val="Firstpagetablebold"/>
              </w:rPr>
              <w:t>2-23</w:t>
            </w:r>
          </w:p>
        </w:tc>
      </w:tr>
    </w:tbl>
    <w:p w14:paraId="5F2FE34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1"/>
        <w:gridCol w:w="1847"/>
        <w:gridCol w:w="6407"/>
      </w:tblGrid>
      <w:tr w:rsidR="00995675" w:rsidRPr="00995675" w14:paraId="14E7A296" w14:textId="77777777" w:rsidTr="0080749A">
        <w:tc>
          <w:tcPr>
            <w:tcW w:w="8845" w:type="dxa"/>
            <w:gridSpan w:val="3"/>
            <w:tcBorders>
              <w:bottom w:val="single" w:sz="8" w:space="0" w:color="000000"/>
            </w:tcBorders>
            <w:hideMark/>
          </w:tcPr>
          <w:p w14:paraId="4B303ED7" w14:textId="77777777" w:rsidR="00D5547E" w:rsidRPr="00593E50" w:rsidRDefault="00745BF0" w:rsidP="00745BF0">
            <w:pPr>
              <w:jc w:val="center"/>
              <w:rPr>
                <w:rStyle w:val="Firstpagetablebold"/>
                <w:color w:val="auto"/>
              </w:rPr>
            </w:pPr>
            <w:r w:rsidRPr="00593E50">
              <w:rPr>
                <w:rStyle w:val="Firstpagetablebold"/>
                <w:color w:val="auto"/>
              </w:rPr>
              <w:t>Summary and r</w:t>
            </w:r>
            <w:r w:rsidR="00D5547E" w:rsidRPr="00593E50">
              <w:rPr>
                <w:rStyle w:val="Firstpagetablebold"/>
                <w:color w:val="auto"/>
              </w:rPr>
              <w:t>ecommendations</w:t>
            </w:r>
          </w:p>
        </w:tc>
      </w:tr>
      <w:tr w:rsidR="00995675" w:rsidRPr="00995675" w14:paraId="1632C01F" w14:textId="77777777" w:rsidTr="0080749A">
        <w:tc>
          <w:tcPr>
            <w:tcW w:w="2438" w:type="dxa"/>
            <w:gridSpan w:val="2"/>
            <w:tcBorders>
              <w:top w:val="single" w:sz="8" w:space="0" w:color="000000"/>
              <w:left w:val="single" w:sz="8" w:space="0" w:color="000000"/>
              <w:bottom w:val="nil"/>
              <w:right w:val="nil"/>
            </w:tcBorders>
            <w:hideMark/>
          </w:tcPr>
          <w:p w14:paraId="15551E39" w14:textId="77777777" w:rsidR="00D5547E" w:rsidRPr="00593E50" w:rsidRDefault="00D5547E">
            <w:pPr>
              <w:rPr>
                <w:rStyle w:val="Firstpagetablebold"/>
                <w:color w:val="auto"/>
              </w:rPr>
            </w:pPr>
            <w:r w:rsidRPr="00593E50">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7D75405A" w14:textId="5AC3FC6E" w:rsidR="00D5547E" w:rsidRPr="00593E50" w:rsidRDefault="00F6310A" w:rsidP="00F6310A">
            <w:pPr>
              <w:rPr>
                <w:color w:val="auto"/>
              </w:rPr>
            </w:pPr>
            <w:r w:rsidRPr="00593E50">
              <w:rPr>
                <w:color w:val="auto"/>
              </w:rPr>
              <w:t xml:space="preserve">This report recommends changes to the Council’s Constitution following an annual review of </w:t>
            </w:r>
            <w:r w:rsidR="00593E50" w:rsidRPr="00593E50">
              <w:rPr>
                <w:color w:val="auto"/>
              </w:rPr>
              <w:t xml:space="preserve">the Constitution overseen by a Cross-Party Constitution </w:t>
            </w:r>
            <w:r w:rsidR="00B3105C">
              <w:rPr>
                <w:color w:val="auto"/>
              </w:rPr>
              <w:t xml:space="preserve">Review Working </w:t>
            </w:r>
            <w:r w:rsidR="00593E50" w:rsidRPr="00593E50">
              <w:rPr>
                <w:color w:val="auto"/>
              </w:rPr>
              <w:t>Group</w:t>
            </w:r>
            <w:r w:rsidRPr="00593E50">
              <w:rPr>
                <w:color w:val="auto"/>
              </w:rPr>
              <w:t>.</w:t>
            </w:r>
          </w:p>
        </w:tc>
      </w:tr>
      <w:tr w:rsidR="00995675" w:rsidRPr="00995675" w14:paraId="4CAEE898" w14:textId="77777777" w:rsidTr="0080749A">
        <w:tc>
          <w:tcPr>
            <w:tcW w:w="2438" w:type="dxa"/>
            <w:gridSpan w:val="2"/>
            <w:tcBorders>
              <w:top w:val="nil"/>
              <w:left w:val="single" w:sz="8" w:space="0" w:color="000000"/>
              <w:bottom w:val="nil"/>
              <w:right w:val="nil"/>
            </w:tcBorders>
            <w:hideMark/>
          </w:tcPr>
          <w:p w14:paraId="34012FD1" w14:textId="77777777" w:rsidR="00D5547E" w:rsidRPr="00593E50" w:rsidRDefault="00D5547E">
            <w:pPr>
              <w:rPr>
                <w:rStyle w:val="Firstpagetablebold"/>
                <w:color w:val="auto"/>
              </w:rPr>
            </w:pPr>
            <w:r w:rsidRPr="00593E50">
              <w:rPr>
                <w:rStyle w:val="Firstpagetablebold"/>
                <w:color w:val="auto"/>
              </w:rPr>
              <w:t>Key decision:</w:t>
            </w:r>
          </w:p>
        </w:tc>
        <w:tc>
          <w:tcPr>
            <w:tcW w:w="6407" w:type="dxa"/>
            <w:tcBorders>
              <w:top w:val="nil"/>
              <w:left w:val="nil"/>
              <w:bottom w:val="nil"/>
              <w:right w:val="single" w:sz="8" w:space="0" w:color="000000"/>
            </w:tcBorders>
            <w:hideMark/>
          </w:tcPr>
          <w:p w14:paraId="2C943480" w14:textId="77777777" w:rsidR="00D5547E" w:rsidRPr="00593E50" w:rsidRDefault="00F6310A" w:rsidP="005F7F7E">
            <w:pPr>
              <w:rPr>
                <w:color w:val="auto"/>
              </w:rPr>
            </w:pPr>
            <w:r w:rsidRPr="00593E50">
              <w:rPr>
                <w:color w:val="auto"/>
              </w:rPr>
              <w:t>No</w:t>
            </w:r>
          </w:p>
        </w:tc>
      </w:tr>
      <w:tr w:rsidR="00995675" w:rsidRPr="00995675" w14:paraId="3909273D" w14:textId="77777777" w:rsidTr="0080749A">
        <w:tc>
          <w:tcPr>
            <w:tcW w:w="2438" w:type="dxa"/>
            <w:gridSpan w:val="2"/>
            <w:tcBorders>
              <w:top w:val="nil"/>
              <w:left w:val="single" w:sz="8" w:space="0" w:color="000000"/>
              <w:bottom w:val="nil"/>
              <w:right w:val="nil"/>
            </w:tcBorders>
            <w:hideMark/>
          </w:tcPr>
          <w:p w14:paraId="6D1DDDBE" w14:textId="77777777" w:rsidR="00D5547E" w:rsidRPr="00593E50" w:rsidRDefault="005620B4">
            <w:pPr>
              <w:rPr>
                <w:rStyle w:val="Firstpagetablebold"/>
                <w:color w:val="auto"/>
              </w:rPr>
            </w:pPr>
            <w:r w:rsidRPr="00593E50">
              <w:rPr>
                <w:rStyle w:val="Firstpagetablebold"/>
                <w:color w:val="auto"/>
              </w:rPr>
              <w:t>Lead</w:t>
            </w:r>
            <w:r w:rsidR="00D5547E" w:rsidRPr="00593E50">
              <w:rPr>
                <w:rStyle w:val="Firstpagetablebold"/>
                <w:color w:val="auto"/>
              </w:rPr>
              <w:t xml:space="preserve"> Member:</w:t>
            </w:r>
          </w:p>
        </w:tc>
        <w:tc>
          <w:tcPr>
            <w:tcW w:w="6407" w:type="dxa"/>
            <w:tcBorders>
              <w:top w:val="nil"/>
              <w:left w:val="nil"/>
              <w:bottom w:val="nil"/>
              <w:right w:val="single" w:sz="8" w:space="0" w:color="000000"/>
            </w:tcBorders>
            <w:hideMark/>
          </w:tcPr>
          <w:p w14:paraId="2DD0A9A7" w14:textId="77777777" w:rsidR="00D5547E" w:rsidRPr="00593E50" w:rsidRDefault="00D5547E" w:rsidP="00593E50">
            <w:pPr>
              <w:rPr>
                <w:color w:val="auto"/>
              </w:rPr>
            </w:pPr>
            <w:r w:rsidRPr="00593E50">
              <w:rPr>
                <w:color w:val="auto"/>
              </w:rPr>
              <w:t xml:space="preserve">Councillor </w:t>
            </w:r>
            <w:r w:rsidR="00607003" w:rsidRPr="00593E50">
              <w:rPr>
                <w:color w:val="auto"/>
              </w:rPr>
              <w:t>Susan Brown, Leader</w:t>
            </w:r>
            <w:r w:rsidR="00593E50">
              <w:rPr>
                <w:color w:val="auto"/>
              </w:rPr>
              <w:t xml:space="preserve"> of the Council</w:t>
            </w:r>
            <w:r w:rsidR="00607003" w:rsidRPr="00593E50">
              <w:rPr>
                <w:color w:val="auto"/>
              </w:rPr>
              <w:t xml:space="preserve"> and Cabinet Member for Inclusive </w:t>
            </w:r>
            <w:r w:rsidR="00593E50" w:rsidRPr="00593E50">
              <w:rPr>
                <w:color w:val="auto"/>
              </w:rPr>
              <w:t xml:space="preserve">Economy and </w:t>
            </w:r>
            <w:r w:rsidR="00607003" w:rsidRPr="00593E50">
              <w:rPr>
                <w:color w:val="auto"/>
              </w:rPr>
              <w:t xml:space="preserve">Partnerships </w:t>
            </w:r>
          </w:p>
        </w:tc>
      </w:tr>
      <w:tr w:rsidR="00995675" w:rsidRPr="00995675" w14:paraId="5F609538" w14:textId="77777777" w:rsidTr="0080749A">
        <w:tc>
          <w:tcPr>
            <w:tcW w:w="2438" w:type="dxa"/>
            <w:gridSpan w:val="2"/>
            <w:tcBorders>
              <w:top w:val="nil"/>
              <w:left w:val="single" w:sz="8" w:space="0" w:color="000000"/>
              <w:bottom w:val="nil"/>
              <w:right w:val="nil"/>
            </w:tcBorders>
          </w:tcPr>
          <w:p w14:paraId="2F331226" w14:textId="77777777" w:rsidR="0080749A" w:rsidRPr="00593E50" w:rsidRDefault="0080749A">
            <w:pPr>
              <w:rPr>
                <w:rStyle w:val="Firstpagetablebold"/>
                <w:color w:val="auto"/>
              </w:rPr>
            </w:pPr>
            <w:r w:rsidRPr="00593E50">
              <w:rPr>
                <w:rStyle w:val="Firstpagetablebold"/>
                <w:color w:val="auto"/>
              </w:rPr>
              <w:t>Corporate Priority:</w:t>
            </w:r>
          </w:p>
        </w:tc>
        <w:tc>
          <w:tcPr>
            <w:tcW w:w="6407" w:type="dxa"/>
            <w:tcBorders>
              <w:top w:val="nil"/>
              <w:left w:val="nil"/>
              <w:bottom w:val="nil"/>
              <w:right w:val="single" w:sz="8" w:space="0" w:color="000000"/>
            </w:tcBorders>
          </w:tcPr>
          <w:p w14:paraId="554BFE1E" w14:textId="77777777" w:rsidR="0080749A" w:rsidRPr="00593E50" w:rsidRDefault="00F6310A" w:rsidP="005F7F7E">
            <w:pPr>
              <w:rPr>
                <w:color w:val="auto"/>
              </w:rPr>
            </w:pPr>
            <w:r w:rsidRPr="00593E50">
              <w:rPr>
                <w:color w:val="auto"/>
              </w:rPr>
              <w:t>N/A</w:t>
            </w:r>
          </w:p>
        </w:tc>
      </w:tr>
      <w:tr w:rsidR="00995675" w:rsidRPr="00995675" w14:paraId="3DFF338A" w14:textId="77777777" w:rsidTr="0080749A">
        <w:tc>
          <w:tcPr>
            <w:tcW w:w="2438" w:type="dxa"/>
            <w:gridSpan w:val="2"/>
            <w:tcBorders>
              <w:top w:val="nil"/>
              <w:left w:val="single" w:sz="8" w:space="0" w:color="000000"/>
              <w:bottom w:val="nil"/>
              <w:right w:val="nil"/>
            </w:tcBorders>
            <w:hideMark/>
          </w:tcPr>
          <w:p w14:paraId="17497AC2" w14:textId="77777777" w:rsidR="00D5547E" w:rsidRPr="00593E50" w:rsidRDefault="00D5547E">
            <w:pPr>
              <w:rPr>
                <w:rStyle w:val="Firstpagetablebold"/>
                <w:color w:val="auto"/>
              </w:rPr>
            </w:pPr>
            <w:r w:rsidRPr="00593E50">
              <w:rPr>
                <w:rStyle w:val="Firstpagetablebold"/>
                <w:color w:val="auto"/>
              </w:rPr>
              <w:t>Policy Framework:</w:t>
            </w:r>
          </w:p>
        </w:tc>
        <w:tc>
          <w:tcPr>
            <w:tcW w:w="6407" w:type="dxa"/>
            <w:tcBorders>
              <w:top w:val="nil"/>
              <w:left w:val="nil"/>
              <w:bottom w:val="nil"/>
              <w:right w:val="single" w:sz="8" w:space="0" w:color="000000"/>
            </w:tcBorders>
            <w:hideMark/>
          </w:tcPr>
          <w:p w14:paraId="78F73027" w14:textId="77777777" w:rsidR="00D5547E" w:rsidRPr="00593E50" w:rsidRDefault="00F6310A" w:rsidP="005F7F7E">
            <w:pPr>
              <w:rPr>
                <w:color w:val="auto"/>
              </w:rPr>
            </w:pPr>
            <w:r w:rsidRPr="00593E50">
              <w:rPr>
                <w:color w:val="auto"/>
              </w:rPr>
              <w:t>N/</w:t>
            </w:r>
            <w:r w:rsidR="003F251A" w:rsidRPr="00593E50">
              <w:rPr>
                <w:color w:val="auto"/>
              </w:rPr>
              <w:t>A</w:t>
            </w:r>
          </w:p>
        </w:tc>
      </w:tr>
      <w:tr w:rsidR="00995675" w:rsidRPr="00995675" w14:paraId="151F64BC" w14:textId="77777777" w:rsidTr="00916D33">
        <w:trPr>
          <w:trHeight w:val="413"/>
        </w:trPr>
        <w:tc>
          <w:tcPr>
            <w:tcW w:w="8845" w:type="dxa"/>
            <w:gridSpan w:val="3"/>
            <w:tcBorders>
              <w:bottom w:val="single" w:sz="8" w:space="0" w:color="000000"/>
            </w:tcBorders>
          </w:tcPr>
          <w:p w14:paraId="02691A37" w14:textId="77777777" w:rsidR="005F7F7E" w:rsidRPr="00995675" w:rsidRDefault="00342E15" w:rsidP="00D21514">
            <w:pPr>
              <w:rPr>
                <w:color w:val="FF0000"/>
              </w:rPr>
            </w:pPr>
            <w:r w:rsidRPr="00593E50">
              <w:rPr>
                <w:rStyle w:val="Firstpagetablebold"/>
                <w:color w:val="auto"/>
              </w:rPr>
              <w:t>Recommendations</w:t>
            </w:r>
            <w:r w:rsidR="005F7F7E" w:rsidRPr="00593E50">
              <w:rPr>
                <w:rStyle w:val="Firstpagetablebold"/>
                <w:color w:val="auto"/>
              </w:rPr>
              <w:t>:</w:t>
            </w:r>
            <w:r w:rsidRPr="00593E50">
              <w:rPr>
                <w:rStyle w:val="Firstpagetablebold"/>
                <w:color w:val="auto"/>
              </w:rPr>
              <w:t xml:space="preserve"> </w:t>
            </w:r>
            <w:r w:rsidR="005F7F7E" w:rsidRPr="00593E50">
              <w:rPr>
                <w:rStyle w:val="Firstpagetablebold"/>
                <w:color w:val="auto"/>
              </w:rPr>
              <w:t xml:space="preserve">That </w:t>
            </w:r>
            <w:r w:rsidR="00F6310A" w:rsidRPr="00593E50">
              <w:rPr>
                <w:rStyle w:val="Firstpagetablebold"/>
                <w:color w:val="auto"/>
              </w:rPr>
              <w:t>Council</w:t>
            </w:r>
            <w:r w:rsidR="005F7F7E" w:rsidRPr="00593E50">
              <w:rPr>
                <w:rStyle w:val="Firstpagetablebold"/>
                <w:color w:val="auto"/>
              </w:rPr>
              <w:t xml:space="preserve"> resolves to:</w:t>
            </w:r>
          </w:p>
        </w:tc>
      </w:tr>
      <w:tr w:rsidR="00995675" w:rsidRPr="00995675" w14:paraId="71D9BDA2" w14:textId="77777777" w:rsidTr="00997B37">
        <w:trPr>
          <w:trHeight w:val="551"/>
        </w:trPr>
        <w:tc>
          <w:tcPr>
            <w:tcW w:w="591" w:type="dxa"/>
            <w:tcBorders>
              <w:top w:val="single" w:sz="8" w:space="0" w:color="000000"/>
              <w:left w:val="single" w:sz="8" w:space="0" w:color="000000"/>
              <w:bottom w:val="nil"/>
              <w:right w:val="nil"/>
            </w:tcBorders>
          </w:tcPr>
          <w:p w14:paraId="70682EFA" w14:textId="77777777" w:rsidR="00916D33" w:rsidRPr="00873FC6" w:rsidRDefault="00046D2B" w:rsidP="00997B37">
            <w:pPr>
              <w:rPr>
                <w:color w:val="auto"/>
              </w:rPr>
            </w:pPr>
            <w:r w:rsidRPr="00873FC6">
              <w:rPr>
                <w:color w:val="auto"/>
              </w:rPr>
              <w:t>1.</w:t>
            </w:r>
          </w:p>
          <w:p w14:paraId="788FFDDE" w14:textId="77777777" w:rsidR="00997B37" w:rsidRPr="00873FC6" w:rsidRDefault="00997B37" w:rsidP="00997B37">
            <w:pPr>
              <w:rPr>
                <w:color w:val="auto"/>
              </w:rPr>
            </w:pPr>
          </w:p>
        </w:tc>
        <w:tc>
          <w:tcPr>
            <w:tcW w:w="8254" w:type="dxa"/>
            <w:gridSpan w:val="2"/>
            <w:tcBorders>
              <w:top w:val="single" w:sz="8" w:space="0" w:color="000000"/>
              <w:left w:val="nil"/>
              <w:bottom w:val="nil"/>
              <w:right w:val="single" w:sz="8" w:space="0" w:color="000000"/>
            </w:tcBorders>
            <w:shd w:val="clear" w:color="auto" w:fill="auto"/>
          </w:tcPr>
          <w:p w14:paraId="1202007F" w14:textId="7C577DA6" w:rsidR="00916D33" w:rsidRPr="00873FC6" w:rsidRDefault="00035886" w:rsidP="00C95E1A">
            <w:pPr>
              <w:rPr>
                <w:color w:val="auto"/>
              </w:rPr>
            </w:pPr>
            <w:r w:rsidRPr="00873FC6">
              <w:rPr>
                <w:rStyle w:val="Firstpagetablebold"/>
                <w:color w:val="auto"/>
              </w:rPr>
              <w:t xml:space="preserve">Approve </w:t>
            </w:r>
            <w:r w:rsidRPr="00873FC6">
              <w:rPr>
                <w:rStyle w:val="Firstpagetablebold"/>
                <w:b w:val="0"/>
                <w:color w:val="auto"/>
              </w:rPr>
              <w:t>the list of proposed amendments to the Council’s Constitution listed in</w:t>
            </w:r>
            <w:r w:rsidR="00873FC6" w:rsidRPr="00873FC6">
              <w:rPr>
                <w:rStyle w:val="Firstpagetablebold"/>
                <w:b w:val="0"/>
                <w:color w:val="auto"/>
              </w:rPr>
              <w:t xml:space="preserve"> Appendix A with effect from 17</w:t>
            </w:r>
            <w:r w:rsidR="00873FC6">
              <w:rPr>
                <w:rStyle w:val="Firstpagetablebold"/>
                <w:b w:val="0"/>
                <w:color w:val="auto"/>
              </w:rPr>
              <w:t xml:space="preserve"> May 2023</w:t>
            </w:r>
            <w:r w:rsidR="00342E15" w:rsidRPr="00873FC6">
              <w:rPr>
                <w:rStyle w:val="Firstpagetablebold"/>
                <w:b w:val="0"/>
                <w:color w:val="auto"/>
              </w:rPr>
              <w:t>;</w:t>
            </w:r>
          </w:p>
        </w:tc>
      </w:tr>
      <w:tr w:rsidR="00997B37" w:rsidRPr="00995675" w14:paraId="0176E304" w14:textId="77777777" w:rsidTr="00997B37">
        <w:trPr>
          <w:trHeight w:val="283"/>
        </w:trPr>
        <w:tc>
          <w:tcPr>
            <w:tcW w:w="591" w:type="dxa"/>
            <w:tcBorders>
              <w:top w:val="nil"/>
              <w:left w:val="single" w:sz="8" w:space="0" w:color="000000"/>
              <w:bottom w:val="single" w:sz="4" w:space="0" w:color="auto"/>
              <w:right w:val="nil"/>
            </w:tcBorders>
          </w:tcPr>
          <w:p w14:paraId="494CE437" w14:textId="0F58ABA6" w:rsidR="00997B37" w:rsidRPr="00873FC6" w:rsidRDefault="00873FC6" w:rsidP="00997B37">
            <w:pPr>
              <w:rPr>
                <w:color w:val="auto"/>
              </w:rPr>
            </w:pPr>
            <w:r w:rsidRPr="00873FC6">
              <w:rPr>
                <w:color w:val="auto"/>
              </w:rPr>
              <w:t>2</w:t>
            </w:r>
            <w:r w:rsidR="00997B37" w:rsidRPr="00873FC6">
              <w:rPr>
                <w:color w:val="auto"/>
              </w:rPr>
              <w:t>.</w:t>
            </w:r>
          </w:p>
        </w:tc>
        <w:tc>
          <w:tcPr>
            <w:tcW w:w="8254" w:type="dxa"/>
            <w:gridSpan w:val="2"/>
            <w:tcBorders>
              <w:top w:val="nil"/>
              <w:left w:val="nil"/>
              <w:bottom w:val="single" w:sz="4" w:space="0" w:color="auto"/>
              <w:right w:val="single" w:sz="8" w:space="0" w:color="000000"/>
            </w:tcBorders>
            <w:shd w:val="clear" w:color="auto" w:fill="auto"/>
          </w:tcPr>
          <w:p w14:paraId="25DBEF45" w14:textId="77777777" w:rsidR="00997B37" w:rsidRPr="00873FC6" w:rsidRDefault="00997B37" w:rsidP="00997B37">
            <w:pPr>
              <w:rPr>
                <w:rStyle w:val="Firstpagetablebold"/>
                <w:b w:val="0"/>
                <w:color w:val="auto"/>
              </w:rPr>
            </w:pPr>
            <w:r w:rsidRPr="00873FC6">
              <w:rPr>
                <w:rStyle w:val="Firstpagetablebold"/>
                <w:color w:val="auto"/>
              </w:rPr>
              <w:t>Delegate authority</w:t>
            </w:r>
            <w:r w:rsidRPr="00873FC6">
              <w:rPr>
                <w:rStyle w:val="Firstpagetablebold"/>
                <w:b w:val="0"/>
                <w:color w:val="auto"/>
              </w:rPr>
              <w:t xml:space="preserve"> to the Head of Law and Governance to amend any further wording and/or numbering that is identified as being inconsistent with the changes approved by Council.</w:t>
            </w:r>
          </w:p>
        </w:tc>
      </w:tr>
    </w:tbl>
    <w:p w14:paraId="48EFC5BA" w14:textId="77777777" w:rsidR="00CE544A" w:rsidRPr="00995675" w:rsidRDefault="00CE544A" w:rsidP="004A6D2F">
      <w:pPr>
        <w:rPr>
          <w:color w:val="FF000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95675" w:rsidRPr="00995675" w14:paraId="48E81195" w14:textId="77777777" w:rsidTr="00873FC6">
        <w:tc>
          <w:tcPr>
            <w:tcW w:w="8844" w:type="dxa"/>
            <w:gridSpan w:val="2"/>
            <w:tcBorders>
              <w:bottom w:val="single" w:sz="8" w:space="0" w:color="000000"/>
            </w:tcBorders>
            <w:shd w:val="clear" w:color="auto" w:fill="auto"/>
          </w:tcPr>
          <w:p w14:paraId="31815008" w14:textId="77777777" w:rsidR="00966D42" w:rsidRPr="00995675" w:rsidRDefault="00966D42" w:rsidP="00263EA3">
            <w:pPr>
              <w:jc w:val="center"/>
              <w:rPr>
                <w:color w:val="FF0000"/>
              </w:rPr>
            </w:pPr>
            <w:r w:rsidRPr="00593E50">
              <w:rPr>
                <w:rStyle w:val="Firstpagetablebold"/>
                <w:color w:val="auto"/>
              </w:rPr>
              <w:t>Appendices</w:t>
            </w:r>
          </w:p>
        </w:tc>
      </w:tr>
      <w:tr w:rsidR="00995675" w:rsidRPr="00995675" w14:paraId="532D551E" w14:textId="77777777" w:rsidTr="00873FC6">
        <w:tc>
          <w:tcPr>
            <w:tcW w:w="2438" w:type="dxa"/>
            <w:tcBorders>
              <w:bottom w:val="single" w:sz="4" w:space="0" w:color="auto"/>
            </w:tcBorders>
            <w:shd w:val="clear" w:color="auto" w:fill="auto"/>
          </w:tcPr>
          <w:p w14:paraId="09F75055" w14:textId="77777777" w:rsidR="00ED5860" w:rsidRPr="00593E50" w:rsidRDefault="00ED5860" w:rsidP="00593E50">
            <w:pPr>
              <w:rPr>
                <w:color w:val="auto"/>
              </w:rPr>
            </w:pPr>
            <w:r w:rsidRPr="00593E50">
              <w:rPr>
                <w:color w:val="auto"/>
              </w:rPr>
              <w:t xml:space="preserve">Appendix </w:t>
            </w:r>
            <w:r w:rsidR="00593E50" w:rsidRPr="00593E50">
              <w:rPr>
                <w:color w:val="auto"/>
              </w:rPr>
              <w:t>A</w:t>
            </w:r>
          </w:p>
        </w:tc>
        <w:tc>
          <w:tcPr>
            <w:tcW w:w="6406" w:type="dxa"/>
            <w:tcBorders>
              <w:bottom w:val="single" w:sz="4" w:space="0" w:color="auto"/>
            </w:tcBorders>
          </w:tcPr>
          <w:p w14:paraId="6FD18021" w14:textId="477D1D64" w:rsidR="00ED5860" w:rsidRPr="00995675" w:rsidRDefault="00342E15" w:rsidP="00873FC6">
            <w:pPr>
              <w:rPr>
                <w:color w:val="FF0000"/>
              </w:rPr>
            </w:pPr>
            <w:r w:rsidRPr="00873FC6">
              <w:rPr>
                <w:color w:val="auto"/>
              </w:rPr>
              <w:t xml:space="preserve">List </w:t>
            </w:r>
            <w:r w:rsidR="00950F33" w:rsidRPr="00873FC6">
              <w:rPr>
                <w:color w:val="auto"/>
              </w:rPr>
              <w:t>of proposed amendments to the Constitution</w:t>
            </w:r>
            <w:r w:rsidR="00873FC6" w:rsidRPr="00873FC6">
              <w:rPr>
                <w:color w:val="auto"/>
              </w:rPr>
              <w:t xml:space="preserve"> 2022-23</w:t>
            </w:r>
          </w:p>
        </w:tc>
      </w:tr>
    </w:tbl>
    <w:p w14:paraId="3F8624BC" w14:textId="77777777" w:rsidR="00B936A5" w:rsidRPr="00995675" w:rsidRDefault="00B936A5" w:rsidP="00B936A5">
      <w:pPr>
        <w:pStyle w:val="Heading1"/>
        <w:spacing w:before="0"/>
        <w:rPr>
          <w:color w:val="FF0000"/>
        </w:rPr>
      </w:pPr>
    </w:p>
    <w:p w14:paraId="5BBA546A" w14:textId="77777777" w:rsidR="0040736F" w:rsidRPr="00873FC6" w:rsidRDefault="00F66DCA" w:rsidP="00FB0487">
      <w:pPr>
        <w:pStyle w:val="Heading1"/>
        <w:spacing w:before="0"/>
        <w:rPr>
          <w:color w:val="auto"/>
        </w:rPr>
      </w:pPr>
      <w:r w:rsidRPr="00873FC6">
        <w:rPr>
          <w:color w:val="auto"/>
        </w:rPr>
        <w:t>Introduction and b</w:t>
      </w:r>
      <w:r w:rsidR="00151888" w:rsidRPr="00873FC6">
        <w:rPr>
          <w:color w:val="auto"/>
        </w:rPr>
        <w:t>ackground</w:t>
      </w:r>
      <w:r w:rsidR="00404032" w:rsidRPr="00873FC6">
        <w:rPr>
          <w:color w:val="auto"/>
        </w:rPr>
        <w:t xml:space="preserve"> </w:t>
      </w:r>
    </w:p>
    <w:p w14:paraId="1645509C" w14:textId="77777777" w:rsidR="00FB0487" w:rsidRPr="00593E50" w:rsidRDefault="00E715C7" w:rsidP="00593E50">
      <w:pPr>
        <w:pStyle w:val="Heading1"/>
        <w:numPr>
          <w:ilvl w:val="0"/>
          <w:numId w:val="34"/>
        </w:numPr>
        <w:spacing w:before="0"/>
        <w:ind w:left="426" w:hanging="426"/>
        <w:jc w:val="both"/>
        <w:rPr>
          <w:b w:val="0"/>
          <w:color w:val="auto"/>
        </w:rPr>
      </w:pPr>
      <w:r w:rsidRPr="00593E50">
        <w:rPr>
          <w:b w:val="0"/>
          <w:color w:val="auto"/>
        </w:rPr>
        <w:t xml:space="preserve">The Constitution forms a key part of the Council’s governance framework, setting rules, principles and procedures to enable the Council to take decisions and do its work effectively.  </w:t>
      </w:r>
    </w:p>
    <w:p w14:paraId="7C322BF0" w14:textId="77777777" w:rsidR="005C7FBE" w:rsidRPr="00593E50" w:rsidRDefault="00E715C7" w:rsidP="00593E50">
      <w:pPr>
        <w:pStyle w:val="ListParagraph"/>
        <w:numPr>
          <w:ilvl w:val="0"/>
          <w:numId w:val="34"/>
        </w:numPr>
        <w:tabs>
          <w:tab w:val="clear" w:pos="426"/>
          <w:tab w:val="left" w:pos="567"/>
        </w:tabs>
        <w:jc w:val="both"/>
        <w:rPr>
          <w:color w:val="auto"/>
        </w:rPr>
      </w:pPr>
      <w:r w:rsidRPr="00593E50">
        <w:rPr>
          <w:color w:val="auto"/>
        </w:rPr>
        <w:t xml:space="preserve">The Constitution is reviewed annually to ensure that it continues to </w:t>
      </w:r>
      <w:r w:rsidR="003F0CC9" w:rsidRPr="00593E50">
        <w:rPr>
          <w:color w:val="auto"/>
        </w:rPr>
        <w:t xml:space="preserve">properly </w:t>
      </w:r>
      <w:r w:rsidRPr="00593E50">
        <w:rPr>
          <w:color w:val="auto"/>
        </w:rPr>
        <w:t>reflect</w:t>
      </w:r>
      <w:r w:rsidR="00A575B1" w:rsidRPr="00593E50">
        <w:rPr>
          <w:color w:val="auto"/>
        </w:rPr>
        <w:t xml:space="preserve"> </w:t>
      </w:r>
      <w:r w:rsidRPr="00593E50">
        <w:rPr>
          <w:color w:val="auto"/>
        </w:rPr>
        <w:t xml:space="preserve">the law and </w:t>
      </w:r>
      <w:r w:rsidR="00295311" w:rsidRPr="00593E50">
        <w:rPr>
          <w:color w:val="auto"/>
        </w:rPr>
        <w:t xml:space="preserve">meet the needs of the Council. </w:t>
      </w:r>
      <w:r w:rsidR="00D3675F" w:rsidRPr="00593E50">
        <w:rPr>
          <w:color w:val="auto"/>
        </w:rPr>
        <w:t xml:space="preserve">This is both a tidying up exercise and an opportunity to respond to governance </w:t>
      </w:r>
      <w:r w:rsidR="00962613" w:rsidRPr="00593E50">
        <w:rPr>
          <w:color w:val="auto"/>
        </w:rPr>
        <w:t xml:space="preserve">changes and </w:t>
      </w:r>
      <w:r w:rsidR="00D3675F" w:rsidRPr="00593E50">
        <w:rPr>
          <w:color w:val="auto"/>
        </w:rPr>
        <w:t>issues that have ari</w:t>
      </w:r>
      <w:r w:rsidR="005C7FBE" w:rsidRPr="00593E50">
        <w:rPr>
          <w:color w:val="auto"/>
        </w:rPr>
        <w:t>sen since the previous review.</w:t>
      </w:r>
    </w:p>
    <w:p w14:paraId="2BCC8A07" w14:textId="57D3CDF7" w:rsidR="005C7FBE" w:rsidRPr="00593E50" w:rsidRDefault="00FB57B4" w:rsidP="00593E50">
      <w:pPr>
        <w:pStyle w:val="ListParagraph"/>
        <w:numPr>
          <w:ilvl w:val="0"/>
          <w:numId w:val="34"/>
        </w:numPr>
        <w:jc w:val="both"/>
        <w:rPr>
          <w:color w:val="auto"/>
        </w:rPr>
      </w:pPr>
      <w:r w:rsidRPr="00593E50">
        <w:rPr>
          <w:color w:val="auto"/>
        </w:rPr>
        <w:lastRenderedPageBreak/>
        <w:t xml:space="preserve">A Cross-Party Constitution Review Working Group (“the Group”) was formed to consider suggestions from officers and </w:t>
      </w:r>
      <w:r w:rsidR="00B3105C">
        <w:rPr>
          <w:color w:val="auto"/>
        </w:rPr>
        <w:t>e</w:t>
      </w:r>
      <w:r w:rsidRPr="00593E50">
        <w:rPr>
          <w:color w:val="auto"/>
        </w:rPr>
        <w:t xml:space="preserve">lected </w:t>
      </w:r>
      <w:r w:rsidR="00B3105C">
        <w:rPr>
          <w:color w:val="auto"/>
        </w:rPr>
        <w:t>m</w:t>
      </w:r>
      <w:r w:rsidRPr="00593E50">
        <w:rPr>
          <w:color w:val="auto"/>
        </w:rPr>
        <w:t xml:space="preserve">embers and shape the proposals before </w:t>
      </w:r>
      <w:r w:rsidR="00B3105C">
        <w:rPr>
          <w:color w:val="auto"/>
        </w:rPr>
        <w:t xml:space="preserve">consideration by Full </w:t>
      </w:r>
      <w:r w:rsidRPr="00593E50">
        <w:rPr>
          <w:color w:val="auto"/>
        </w:rPr>
        <w:t xml:space="preserve">Council. The Group was chaired by </w:t>
      </w:r>
      <w:r w:rsidR="00950F33" w:rsidRPr="00593E50">
        <w:rPr>
          <w:color w:val="auto"/>
        </w:rPr>
        <w:t xml:space="preserve">Cllr </w:t>
      </w:r>
      <w:r w:rsidR="00593E50" w:rsidRPr="00593E50">
        <w:rPr>
          <w:color w:val="auto"/>
        </w:rPr>
        <w:t>Edward Mundy</w:t>
      </w:r>
      <w:r w:rsidR="00950F33" w:rsidRPr="00593E50">
        <w:rPr>
          <w:b/>
          <w:color w:val="auto"/>
        </w:rPr>
        <w:t xml:space="preserve"> </w:t>
      </w:r>
      <w:r w:rsidR="00950F33" w:rsidRPr="00593E50">
        <w:rPr>
          <w:color w:val="auto"/>
        </w:rPr>
        <w:t>and its membership also included</w:t>
      </w:r>
      <w:r w:rsidR="00950F33" w:rsidRPr="00593E50">
        <w:rPr>
          <w:b/>
          <w:color w:val="auto"/>
        </w:rPr>
        <w:t xml:space="preserve">: </w:t>
      </w:r>
      <w:r w:rsidR="00950F33" w:rsidRPr="00593E50">
        <w:rPr>
          <w:color w:val="auto"/>
        </w:rPr>
        <w:t xml:space="preserve">Cllr </w:t>
      </w:r>
      <w:r w:rsidR="00593E50" w:rsidRPr="00593E50">
        <w:rPr>
          <w:color w:val="auto"/>
        </w:rPr>
        <w:t>Shaista Aziz</w:t>
      </w:r>
      <w:r w:rsidR="00950F33" w:rsidRPr="00593E50">
        <w:rPr>
          <w:b/>
          <w:color w:val="auto"/>
        </w:rPr>
        <w:t xml:space="preserve">, </w:t>
      </w:r>
      <w:r w:rsidR="00593E50" w:rsidRPr="00593E50">
        <w:rPr>
          <w:color w:val="auto"/>
        </w:rPr>
        <w:t>Cllr Nigel Chapman, Cllr Paula Dunne, Cllr Emily Kerr, Cllr Mike Rowley, Cllr Roz Smith and Cllr Christopher Smowton.</w:t>
      </w:r>
      <w:r w:rsidRPr="00593E50">
        <w:rPr>
          <w:color w:val="auto"/>
        </w:rPr>
        <w:t xml:space="preserve"> </w:t>
      </w:r>
      <w:r w:rsidR="00D64035" w:rsidRPr="00593E50">
        <w:rPr>
          <w:color w:val="auto"/>
        </w:rPr>
        <w:t xml:space="preserve">The Group held </w:t>
      </w:r>
      <w:r w:rsidR="00593E50" w:rsidRPr="00593E50">
        <w:rPr>
          <w:color w:val="auto"/>
        </w:rPr>
        <w:t>three</w:t>
      </w:r>
      <w:r w:rsidR="00D64035" w:rsidRPr="00593E50">
        <w:rPr>
          <w:color w:val="auto"/>
        </w:rPr>
        <w:t xml:space="preserve"> meeting</w:t>
      </w:r>
      <w:r w:rsidR="00593E50" w:rsidRPr="00593E50">
        <w:rPr>
          <w:color w:val="auto"/>
        </w:rPr>
        <w:t>s</w:t>
      </w:r>
      <w:r w:rsidR="00D64035" w:rsidRPr="00593E50">
        <w:rPr>
          <w:color w:val="auto"/>
        </w:rPr>
        <w:t xml:space="preserve">, on </w:t>
      </w:r>
      <w:r w:rsidR="00593E50" w:rsidRPr="00593E50">
        <w:rPr>
          <w:color w:val="auto"/>
        </w:rPr>
        <w:t>13, 20 and 27 February 2023</w:t>
      </w:r>
      <w:r w:rsidR="00D64035" w:rsidRPr="00593E50">
        <w:rPr>
          <w:color w:val="auto"/>
        </w:rPr>
        <w:t xml:space="preserve"> to consider</w:t>
      </w:r>
      <w:r w:rsidR="00593E50" w:rsidRPr="00593E50">
        <w:rPr>
          <w:color w:val="auto"/>
        </w:rPr>
        <w:t xml:space="preserve"> proposed changes submitted</w:t>
      </w:r>
      <w:r w:rsidR="00B3105C">
        <w:rPr>
          <w:color w:val="auto"/>
        </w:rPr>
        <w:t xml:space="preserve"> by m</w:t>
      </w:r>
      <w:r w:rsidR="00D64035" w:rsidRPr="00593E50">
        <w:rPr>
          <w:color w:val="auto"/>
        </w:rPr>
        <w:t xml:space="preserve">embers and officers. </w:t>
      </w:r>
    </w:p>
    <w:p w14:paraId="60D8017D" w14:textId="77777777" w:rsidR="00E715C7" w:rsidRPr="00995675" w:rsidRDefault="00E715C7" w:rsidP="00C51932">
      <w:pPr>
        <w:pStyle w:val="ListParagraph"/>
        <w:spacing w:after="0"/>
        <w:ind w:left="357"/>
        <w:rPr>
          <w:color w:val="FF0000"/>
        </w:rPr>
      </w:pPr>
    </w:p>
    <w:p w14:paraId="59BDF52C" w14:textId="77777777" w:rsidR="00633578" w:rsidRPr="00AE609B" w:rsidRDefault="00E715C7" w:rsidP="00FB0487">
      <w:pPr>
        <w:pStyle w:val="Heading1"/>
        <w:spacing w:before="0"/>
        <w:rPr>
          <w:color w:val="auto"/>
        </w:rPr>
      </w:pPr>
      <w:r w:rsidRPr="00AE609B">
        <w:rPr>
          <w:color w:val="auto"/>
        </w:rPr>
        <w:t>Proposed amendments</w:t>
      </w:r>
    </w:p>
    <w:p w14:paraId="67736DE0" w14:textId="73916ACC" w:rsidR="004337A7" w:rsidRPr="00995675" w:rsidRDefault="004337A7" w:rsidP="00873FC6">
      <w:pPr>
        <w:pStyle w:val="ListParagraph"/>
        <w:numPr>
          <w:ilvl w:val="0"/>
          <w:numId w:val="34"/>
        </w:numPr>
        <w:jc w:val="both"/>
        <w:rPr>
          <w:rStyle w:val="ListParagraphChar"/>
          <w:color w:val="FF0000"/>
        </w:rPr>
      </w:pPr>
      <w:r w:rsidRPr="00AE609B">
        <w:rPr>
          <w:rStyle w:val="ListParagraphChar"/>
          <w:color w:val="auto"/>
        </w:rPr>
        <w:t>The l</w:t>
      </w:r>
      <w:r w:rsidR="00E715C7" w:rsidRPr="00AE609B">
        <w:rPr>
          <w:rStyle w:val="ListParagraphChar"/>
          <w:color w:val="auto"/>
        </w:rPr>
        <w:t xml:space="preserve">ist of </w:t>
      </w:r>
      <w:r w:rsidR="00613449">
        <w:rPr>
          <w:rStyle w:val="ListParagraphChar"/>
          <w:color w:val="auto"/>
        </w:rPr>
        <w:t>52</w:t>
      </w:r>
      <w:r w:rsidR="007B47A7" w:rsidRPr="00AE609B">
        <w:rPr>
          <w:rStyle w:val="ListParagraphChar"/>
          <w:color w:val="auto"/>
        </w:rPr>
        <w:t xml:space="preserve"> </w:t>
      </w:r>
      <w:r w:rsidR="00E715C7" w:rsidRPr="00AE609B">
        <w:rPr>
          <w:rStyle w:val="ListParagraphChar"/>
          <w:color w:val="auto"/>
        </w:rPr>
        <w:t xml:space="preserve">proposed amendments </w:t>
      </w:r>
      <w:r w:rsidR="00062BB1" w:rsidRPr="00AE609B">
        <w:rPr>
          <w:rStyle w:val="ListParagraphChar"/>
          <w:color w:val="auto"/>
        </w:rPr>
        <w:t>resulting from</w:t>
      </w:r>
      <w:r w:rsidR="0069476D" w:rsidRPr="00AE609B">
        <w:rPr>
          <w:rStyle w:val="ListParagraphChar"/>
          <w:color w:val="auto"/>
        </w:rPr>
        <w:t xml:space="preserve"> the Constitution Review </w:t>
      </w:r>
      <w:r w:rsidR="00F92D61" w:rsidRPr="00AE609B">
        <w:rPr>
          <w:rStyle w:val="ListParagraphChar"/>
          <w:color w:val="auto"/>
        </w:rPr>
        <w:t>2022-23</w:t>
      </w:r>
      <w:r w:rsidR="0069476D" w:rsidRPr="00AE609B">
        <w:rPr>
          <w:rStyle w:val="ListParagraphChar"/>
          <w:color w:val="auto"/>
        </w:rPr>
        <w:t xml:space="preserve"> </w:t>
      </w:r>
      <w:r w:rsidR="00D64035" w:rsidRPr="00AE609B">
        <w:rPr>
          <w:rStyle w:val="ListParagraphChar"/>
          <w:color w:val="auto"/>
        </w:rPr>
        <w:t>are</w:t>
      </w:r>
      <w:r w:rsidRPr="00AE609B">
        <w:rPr>
          <w:rStyle w:val="ListParagraphChar"/>
          <w:color w:val="auto"/>
        </w:rPr>
        <w:t xml:space="preserve"> attached </w:t>
      </w:r>
      <w:r w:rsidR="00873FC6">
        <w:rPr>
          <w:rStyle w:val="ListParagraphChar"/>
          <w:color w:val="auto"/>
        </w:rPr>
        <w:t>at Appendix A</w:t>
      </w:r>
      <w:r w:rsidR="00D64035" w:rsidRPr="00873FC6">
        <w:rPr>
          <w:rStyle w:val="ListParagraphChar"/>
          <w:color w:val="auto"/>
        </w:rPr>
        <w:t xml:space="preserve">. </w:t>
      </w:r>
    </w:p>
    <w:p w14:paraId="27852EC3" w14:textId="1F0CFDFD" w:rsidR="00C123C3" w:rsidRPr="00873FC6" w:rsidRDefault="00C123C3" w:rsidP="00873FC6">
      <w:pPr>
        <w:pStyle w:val="ListParagraph"/>
        <w:numPr>
          <w:ilvl w:val="0"/>
          <w:numId w:val="34"/>
        </w:numPr>
        <w:jc w:val="both"/>
        <w:rPr>
          <w:rStyle w:val="ListParagraphChar"/>
          <w:color w:val="auto"/>
        </w:rPr>
      </w:pPr>
      <w:r w:rsidRPr="00873FC6">
        <w:rPr>
          <w:rStyle w:val="ListParagraphChar"/>
          <w:color w:val="auto"/>
        </w:rPr>
        <w:t xml:space="preserve">The proposed amendments were </w:t>
      </w:r>
      <w:r w:rsidR="00873FC6">
        <w:rPr>
          <w:rStyle w:val="ListParagraphChar"/>
          <w:color w:val="auto"/>
        </w:rPr>
        <w:t xml:space="preserve">initially </w:t>
      </w:r>
      <w:r w:rsidRPr="00873FC6">
        <w:rPr>
          <w:rStyle w:val="ListParagraphChar"/>
          <w:color w:val="auto"/>
        </w:rPr>
        <w:t>considered and debated in turn by the Group</w:t>
      </w:r>
      <w:r w:rsidR="00873FC6">
        <w:rPr>
          <w:rStyle w:val="ListParagraphChar"/>
          <w:color w:val="auto"/>
        </w:rPr>
        <w:t xml:space="preserve"> and in the latter stages of the review process the proposals were taken as read and only debated by exception.</w:t>
      </w:r>
      <w:r w:rsidRPr="00873FC6">
        <w:rPr>
          <w:rStyle w:val="ListParagraphChar"/>
          <w:color w:val="auto"/>
        </w:rPr>
        <w:t xml:space="preserve"> </w:t>
      </w:r>
      <w:r w:rsidR="00873FC6">
        <w:rPr>
          <w:rStyle w:val="ListParagraphChar"/>
          <w:color w:val="auto"/>
        </w:rPr>
        <w:t xml:space="preserve">Following debate, </w:t>
      </w:r>
      <w:r w:rsidRPr="00873FC6">
        <w:rPr>
          <w:rStyle w:val="ListParagraphChar"/>
          <w:color w:val="auto"/>
        </w:rPr>
        <w:t xml:space="preserve">some proposals </w:t>
      </w:r>
      <w:r w:rsidR="00873FC6" w:rsidRPr="00873FC6">
        <w:rPr>
          <w:rStyle w:val="ListParagraphChar"/>
          <w:color w:val="auto"/>
        </w:rPr>
        <w:t>were</w:t>
      </w:r>
      <w:r w:rsidRPr="00873FC6">
        <w:rPr>
          <w:rStyle w:val="ListParagraphChar"/>
          <w:color w:val="auto"/>
        </w:rPr>
        <w:t xml:space="preserve"> amended by o</w:t>
      </w:r>
      <w:r w:rsidR="00B3105C">
        <w:rPr>
          <w:rStyle w:val="ListParagraphChar"/>
          <w:color w:val="auto"/>
        </w:rPr>
        <w:t>fficers to reflect m</w:t>
      </w:r>
      <w:r w:rsidR="00873FC6">
        <w:rPr>
          <w:rStyle w:val="ListParagraphChar"/>
          <w:color w:val="auto"/>
        </w:rPr>
        <w:t>ember input and subsequently circulated to the Group for agreement.</w:t>
      </w:r>
    </w:p>
    <w:p w14:paraId="5F306B9B" w14:textId="328C9AB7" w:rsidR="00D64035" w:rsidRPr="00873FC6" w:rsidRDefault="00873FC6" w:rsidP="00873FC6">
      <w:pPr>
        <w:pStyle w:val="ListParagraph"/>
        <w:numPr>
          <w:ilvl w:val="0"/>
          <w:numId w:val="34"/>
        </w:numPr>
        <w:jc w:val="both"/>
        <w:rPr>
          <w:rStyle w:val="ListParagraphChar"/>
          <w:color w:val="auto"/>
        </w:rPr>
      </w:pPr>
      <w:r w:rsidRPr="00873FC6">
        <w:rPr>
          <w:rStyle w:val="ListParagraphChar"/>
          <w:color w:val="auto"/>
        </w:rPr>
        <w:t xml:space="preserve">Since the Constitution Review is in part a tidying up exercise there was a high degree of consensus on the vast majority of proposals considered by the Group. </w:t>
      </w:r>
      <w:r>
        <w:rPr>
          <w:rStyle w:val="ListParagraphChar"/>
          <w:color w:val="auto"/>
        </w:rPr>
        <w:t>A small number of proposal</w:t>
      </w:r>
      <w:r w:rsidR="00B3105C">
        <w:rPr>
          <w:rStyle w:val="ListParagraphChar"/>
          <w:color w:val="auto"/>
        </w:rPr>
        <w:t>s required amendment following m</w:t>
      </w:r>
      <w:r>
        <w:rPr>
          <w:rStyle w:val="ListParagraphChar"/>
          <w:color w:val="auto"/>
        </w:rPr>
        <w:t xml:space="preserve">ember input. </w:t>
      </w:r>
      <w:r w:rsidRPr="00873FC6">
        <w:rPr>
          <w:rStyle w:val="ListParagraphChar"/>
          <w:color w:val="auto"/>
        </w:rPr>
        <w:t>Only one of the proposals submit</w:t>
      </w:r>
      <w:r w:rsidR="00B3105C">
        <w:rPr>
          <w:rStyle w:val="ListParagraphChar"/>
          <w:color w:val="auto"/>
        </w:rPr>
        <w:t>ted was not supported by m</w:t>
      </w:r>
      <w:r w:rsidRPr="00873FC6">
        <w:rPr>
          <w:rStyle w:val="ListParagraphChar"/>
          <w:color w:val="auto"/>
        </w:rPr>
        <w:t xml:space="preserve">embers, which related to </w:t>
      </w:r>
      <w:r w:rsidR="00B3105C">
        <w:rPr>
          <w:rStyle w:val="ListParagraphChar"/>
          <w:color w:val="auto"/>
        </w:rPr>
        <w:t>a</w:t>
      </w:r>
      <w:r w:rsidRPr="00873FC6">
        <w:rPr>
          <w:rStyle w:val="ListParagraphChar"/>
          <w:color w:val="auto"/>
        </w:rPr>
        <w:t xml:space="preserve"> </w:t>
      </w:r>
      <w:r w:rsidR="00B3105C">
        <w:rPr>
          <w:rStyle w:val="ListParagraphChar"/>
          <w:color w:val="auto"/>
        </w:rPr>
        <w:t>proposal to provide</w:t>
      </w:r>
      <w:r w:rsidRPr="00873FC6">
        <w:rPr>
          <w:rStyle w:val="ListParagraphChar"/>
          <w:color w:val="auto"/>
        </w:rPr>
        <w:t xml:space="preserve"> a time limit for Member Questions on Notice at Full Council meetings. </w:t>
      </w:r>
    </w:p>
    <w:p w14:paraId="5F9CF685" w14:textId="5604C12B" w:rsidR="00555AFA" w:rsidRPr="00995675" w:rsidRDefault="00D83344" w:rsidP="00873FC6">
      <w:pPr>
        <w:pStyle w:val="bParagraphtext"/>
        <w:numPr>
          <w:ilvl w:val="0"/>
          <w:numId w:val="34"/>
        </w:numPr>
        <w:ind w:left="425" w:hanging="425"/>
        <w:jc w:val="both"/>
        <w:rPr>
          <w:rStyle w:val="ListParagraphChar"/>
          <w:color w:val="FF0000"/>
        </w:rPr>
      </w:pPr>
      <w:r>
        <w:rPr>
          <w:color w:val="auto"/>
        </w:rPr>
        <w:t>A small number of p</w:t>
      </w:r>
      <w:r w:rsidR="00C06C57" w:rsidRPr="00873FC6">
        <w:rPr>
          <w:color w:val="auto"/>
        </w:rPr>
        <w:t xml:space="preserve">roposals </w:t>
      </w:r>
      <w:r>
        <w:rPr>
          <w:color w:val="auto"/>
        </w:rPr>
        <w:t>which</w:t>
      </w:r>
      <w:r w:rsidR="00C06C57" w:rsidRPr="00873FC6">
        <w:rPr>
          <w:color w:val="auto"/>
        </w:rPr>
        <w:t xml:space="preserve"> </w:t>
      </w:r>
      <w:r w:rsidR="007B47A7" w:rsidRPr="00873FC6">
        <w:rPr>
          <w:color w:val="auto"/>
        </w:rPr>
        <w:t>may be of particular interest to</w:t>
      </w:r>
      <w:r w:rsidR="00C06C57" w:rsidRPr="00873FC6">
        <w:rPr>
          <w:color w:val="auto"/>
        </w:rPr>
        <w:t xml:space="preserve"> </w:t>
      </w:r>
      <w:r w:rsidR="00B3105C">
        <w:rPr>
          <w:color w:val="auto"/>
        </w:rPr>
        <w:t>m</w:t>
      </w:r>
      <w:r w:rsidR="00873FC6" w:rsidRPr="00873FC6">
        <w:rPr>
          <w:color w:val="auto"/>
        </w:rPr>
        <w:t>embers</w:t>
      </w:r>
      <w:r w:rsidR="00C06C57" w:rsidRPr="00873FC6">
        <w:rPr>
          <w:color w:val="auto"/>
        </w:rPr>
        <w:t xml:space="preserve"> and the public </w:t>
      </w:r>
      <w:r w:rsidR="005E5D3A" w:rsidRPr="00873FC6">
        <w:rPr>
          <w:color w:val="auto"/>
        </w:rPr>
        <w:t xml:space="preserve">are </w:t>
      </w:r>
      <w:r w:rsidR="00873FC6">
        <w:rPr>
          <w:color w:val="auto"/>
        </w:rPr>
        <w:t>set out</w:t>
      </w:r>
      <w:r w:rsidR="005E5D3A" w:rsidRPr="00873FC6">
        <w:rPr>
          <w:color w:val="auto"/>
        </w:rPr>
        <w:t xml:space="preserve"> </w:t>
      </w:r>
      <w:r w:rsidR="008A5929" w:rsidRPr="00873FC6">
        <w:rPr>
          <w:color w:val="auto"/>
        </w:rPr>
        <w:t>in the table below.</w:t>
      </w:r>
      <w:r w:rsidR="0007365E" w:rsidRPr="00873FC6">
        <w:rPr>
          <w:color w:val="auto"/>
        </w:rPr>
        <w:t xml:space="preserve"> </w:t>
      </w:r>
      <w:r>
        <w:rPr>
          <w:color w:val="auto"/>
        </w:rPr>
        <w:t>The full list of proposals is set out at Appendix A.</w:t>
      </w:r>
      <w:r w:rsidR="00062BB1" w:rsidRPr="00995675">
        <w:rPr>
          <w:b/>
          <w:color w:val="FF0000"/>
        </w:rPr>
        <w:tab/>
      </w:r>
    </w:p>
    <w:p w14:paraId="23AA24A9" w14:textId="77777777" w:rsidR="003F0CC9" w:rsidRPr="00873FC6" w:rsidRDefault="00C06C57" w:rsidP="003F0CC9">
      <w:pPr>
        <w:spacing w:after="0"/>
        <w:rPr>
          <w:rFonts w:eastAsia="Calibri" w:cs="Arial"/>
          <w:b/>
          <w:color w:val="auto"/>
        </w:rPr>
      </w:pPr>
      <w:r w:rsidRPr="00873FC6">
        <w:rPr>
          <w:rFonts w:eastAsia="Calibri" w:cs="Arial"/>
          <w:b/>
          <w:color w:val="auto"/>
        </w:rPr>
        <w:t>Table 1</w:t>
      </w:r>
    </w:p>
    <w:tbl>
      <w:tblPr>
        <w:tblStyle w:val="TableGrid"/>
        <w:tblW w:w="10519" w:type="dxa"/>
        <w:tblInd w:w="-318" w:type="dxa"/>
        <w:tblLayout w:type="fixed"/>
        <w:tblLook w:val="04A0" w:firstRow="1" w:lastRow="0" w:firstColumn="1" w:lastColumn="0" w:noHBand="0" w:noVBand="1"/>
      </w:tblPr>
      <w:tblGrid>
        <w:gridCol w:w="2014"/>
        <w:gridCol w:w="3828"/>
        <w:gridCol w:w="4677"/>
      </w:tblGrid>
      <w:tr w:rsidR="00995675" w:rsidRPr="00995675" w14:paraId="4806B9F9" w14:textId="77777777" w:rsidTr="00D25AD1">
        <w:tc>
          <w:tcPr>
            <w:tcW w:w="2014" w:type="dxa"/>
          </w:tcPr>
          <w:p w14:paraId="514D20CA" w14:textId="77777777" w:rsidR="003F0CC9" w:rsidRPr="00A35415" w:rsidRDefault="003F0CC9" w:rsidP="002F3FCE">
            <w:pPr>
              <w:rPr>
                <w:rFonts w:eastAsia="Calibri"/>
                <w:b/>
                <w:color w:val="auto"/>
              </w:rPr>
            </w:pPr>
            <w:r w:rsidRPr="00A35415">
              <w:rPr>
                <w:rFonts w:eastAsia="Calibri"/>
                <w:b/>
                <w:color w:val="auto"/>
              </w:rPr>
              <w:t>Constitution reference</w:t>
            </w:r>
          </w:p>
        </w:tc>
        <w:tc>
          <w:tcPr>
            <w:tcW w:w="3828" w:type="dxa"/>
          </w:tcPr>
          <w:p w14:paraId="16EFC478" w14:textId="77777777" w:rsidR="003F0CC9" w:rsidRPr="00A35415" w:rsidRDefault="003F0CC9" w:rsidP="002F3FCE">
            <w:pPr>
              <w:rPr>
                <w:rFonts w:eastAsia="Calibri"/>
                <w:b/>
                <w:color w:val="auto"/>
              </w:rPr>
            </w:pPr>
            <w:r w:rsidRPr="00A35415">
              <w:rPr>
                <w:rFonts w:eastAsia="Calibri"/>
                <w:b/>
                <w:color w:val="auto"/>
              </w:rPr>
              <w:t>Proposed change(s)</w:t>
            </w:r>
          </w:p>
        </w:tc>
        <w:tc>
          <w:tcPr>
            <w:tcW w:w="4677" w:type="dxa"/>
          </w:tcPr>
          <w:p w14:paraId="0750F654" w14:textId="77777777" w:rsidR="003F0CC9" w:rsidRPr="00A35415" w:rsidRDefault="003F0CC9" w:rsidP="002F3FCE">
            <w:pPr>
              <w:rPr>
                <w:rFonts w:eastAsia="Calibri"/>
                <w:b/>
                <w:color w:val="auto"/>
              </w:rPr>
            </w:pPr>
            <w:r w:rsidRPr="00A35415">
              <w:rPr>
                <w:rFonts w:eastAsia="Calibri"/>
                <w:b/>
                <w:color w:val="auto"/>
              </w:rPr>
              <w:t>Rationale</w:t>
            </w:r>
          </w:p>
        </w:tc>
      </w:tr>
      <w:tr w:rsidR="00995675" w:rsidRPr="00995675" w14:paraId="20E48FA0" w14:textId="77777777" w:rsidTr="00D25AD1">
        <w:tc>
          <w:tcPr>
            <w:tcW w:w="2014" w:type="dxa"/>
          </w:tcPr>
          <w:p w14:paraId="45196DE8" w14:textId="0B5313FD" w:rsidR="003F0CC9" w:rsidRPr="00A35415" w:rsidRDefault="00A35415" w:rsidP="002F3FCE">
            <w:pPr>
              <w:rPr>
                <w:rFonts w:eastAsia="Calibri"/>
                <w:color w:val="auto"/>
              </w:rPr>
            </w:pPr>
            <w:r w:rsidRPr="00A35415">
              <w:rPr>
                <w:rFonts w:eastAsia="Calibri"/>
                <w:color w:val="auto"/>
              </w:rPr>
              <w:t>All</w:t>
            </w:r>
          </w:p>
        </w:tc>
        <w:tc>
          <w:tcPr>
            <w:tcW w:w="3828" w:type="dxa"/>
          </w:tcPr>
          <w:p w14:paraId="7B9A3F0F" w14:textId="683F70B0" w:rsidR="003F0CC9" w:rsidRPr="00A35415" w:rsidRDefault="00BA0B0E" w:rsidP="00A35415">
            <w:pPr>
              <w:spacing w:after="0"/>
              <w:contextualSpacing/>
              <w:rPr>
                <w:rFonts w:eastAsia="Calibri"/>
                <w:color w:val="auto"/>
              </w:rPr>
            </w:pPr>
            <w:r w:rsidRPr="00A35415">
              <w:rPr>
                <w:rFonts w:eastAsia="Calibri"/>
                <w:color w:val="auto"/>
              </w:rPr>
              <w:t xml:space="preserve">To </w:t>
            </w:r>
            <w:r w:rsidR="00A35415" w:rsidRPr="00A35415">
              <w:rPr>
                <w:rFonts w:eastAsia="Calibri"/>
                <w:color w:val="auto"/>
              </w:rPr>
              <w:t>change references to gender-specific pronouns throughout the Constitution to ‘they’ (or appropriate alternative).</w:t>
            </w:r>
          </w:p>
        </w:tc>
        <w:tc>
          <w:tcPr>
            <w:tcW w:w="4677" w:type="dxa"/>
          </w:tcPr>
          <w:p w14:paraId="67722439" w14:textId="75D7408F" w:rsidR="003F0CC9" w:rsidRPr="00A35415" w:rsidRDefault="00A35415" w:rsidP="002F3FCE">
            <w:pPr>
              <w:rPr>
                <w:rFonts w:eastAsia="Calibri"/>
                <w:color w:val="auto"/>
              </w:rPr>
            </w:pPr>
            <w:r w:rsidRPr="00A35415">
              <w:rPr>
                <w:rFonts w:cs="Arial"/>
                <w:color w:val="auto"/>
              </w:rPr>
              <w:t>To ensure inclusivity, reflecting all gender identities.</w:t>
            </w:r>
          </w:p>
        </w:tc>
      </w:tr>
      <w:tr w:rsidR="00995675" w:rsidRPr="00995675" w14:paraId="3CB1820F" w14:textId="77777777" w:rsidTr="00D25AD1">
        <w:tc>
          <w:tcPr>
            <w:tcW w:w="2014" w:type="dxa"/>
          </w:tcPr>
          <w:p w14:paraId="4E95853E" w14:textId="77777777" w:rsidR="00A35415" w:rsidRDefault="00A35415" w:rsidP="00A35415">
            <w:pPr>
              <w:rPr>
                <w:rFonts w:cs="Arial"/>
              </w:rPr>
            </w:pPr>
            <w:r>
              <w:rPr>
                <w:rFonts w:cs="Arial"/>
              </w:rPr>
              <w:t>Part 5.3(b)</w:t>
            </w:r>
          </w:p>
          <w:p w14:paraId="47CB139E" w14:textId="5925742A" w:rsidR="003F0CC9" w:rsidRPr="00995675" w:rsidRDefault="00A35415" w:rsidP="00A35415">
            <w:pPr>
              <w:rPr>
                <w:rFonts w:eastAsia="Calibri"/>
                <w:color w:val="FF0000"/>
              </w:rPr>
            </w:pPr>
            <w:r>
              <w:rPr>
                <w:rFonts w:cs="Arial"/>
              </w:rPr>
              <w:t>Planning – who carries out the responsibility?</w:t>
            </w:r>
          </w:p>
        </w:tc>
        <w:tc>
          <w:tcPr>
            <w:tcW w:w="3828" w:type="dxa"/>
          </w:tcPr>
          <w:p w14:paraId="54BC6312" w14:textId="7B1A137A" w:rsidR="003F0CC9" w:rsidRPr="00A35415" w:rsidRDefault="00A35415" w:rsidP="00A35415">
            <w:pPr>
              <w:spacing w:after="0"/>
              <w:contextualSpacing/>
              <w:rPr>
                <w:rFonts w:eastAsia="Calibri"/>
                <w:color w:val="FF0000"/>
              </w:rPr>
            </w:pPr>
            <w:r w:rsidRPr="00DD7F94">
              <w:rPr>
                <w:rFonts w:cs="Arial"/>
              </w:rPr>
              <w:t xml:space="preserve">To </w:t>
            </w:r>
            <w:r>
              <w:rPr>
                <w:rFonts w:cs="Arial"/>
              </w:rPr>
              <w:t>correct a discrepancy between 5.3(b) (</w:t>
            </w:r>
            <w:r>
              <w:rPr>
                <w:rFonts w:cs="Arial"/>
                <w:i/>
              </w:rPr>
              <w:t xml:space="preserve">bullet point 5 under responsibilities of Planning </w:t>
            </w:r>
            <w:r w:rsidRPr="002D7AD3">
              <w:rPr>
                <w:rFonts w:cs="Arial"/>
              </w:rPr>
              <w:t>Committee</w:t>
            </w:r>
            <w:r>
              <w:rPr>
                <w:rFonts w:cs="Arial"/>
              </w:rPr>
              <w:t xml:space="preserve">) </w:t>
            </w:r>
            <w:r w:rsidRPr="002D7AD3">
              <w:rPr>
                <w:rFonts w:cs="Arial"/>
              </w:rPr>
              <w:t>and</w:t>
            </w:r>
            <w:r>
              <w:rPr>
                <w:rFonts w:cs="Arial"/>
              </w:rPr>
              <w:t xml:space="preserve"> 17.3 (first section in table) in respect of when planning applications, which would normally be decided by the Head of Planning Services, can be called-in to be determined by the Planning Committee.</w:t>
            </w:r>
          </w:p>
        </w:tc>
        <w:tc>
          <w:tcPr>
            <w:tcW w:w="4677" w:type="dxa"/>
          </w:tcPr>
          <w:p w14:paraId="5A319F1A" w14:textId="4C6335F9" w:rsidR="003F0CC9" w:rsidRPr="00995675" w:rsidRDefault="00A35415" w:rsidP="009B3081">
            <w:pPr>
              <w:rPr>
                <w:rFonts w:eastAsia="Calibri"/>
                <w:color w:val="FF0000"/>
              </w:rPr>
            </w:pPr>
            <w:r>
              <w:rPr>
                <w:rFonts w:cs="Arial"/>
              </w:rPr>
              <w:t>Currently, the timescales set out in the two sections have a subtle but important difference, meaning there is scope for misinterpretation of the call-in deadline, which could leave the Council open to challenge. Officers’ view is that the timescale set out in 17.3 is the clearer of the two and there is less scope for misinterpretation, so 17.3 should be reflected in 5.3(b) rather than the other way around. 17.3 relates to the date on which the application was included on the weekly list.</w:t>
            </w:r>
          </w:p>
        </w:tc>
      </w:tr>
      <w:tr w:rsidR="00995675" w:rsidRPr="00995675" w14:paraId="4A6890A7" w14:textId="77777777" w:rsidTr="00D25AD1">
        <w:tc>
          <w:tcPr>
            <w:tcW w:w="2014" w:type="dxa"/>
          </w:tcPr>
          <w:p w14:paraId="4209ED54" w14:textId="77777777" w:rsidR="00A35415" w:rsidRDefault="00A35415" w:rsidP="00A35415">
            <w:pPr>
              <w:rPr>
                <w:rFonts w:cs="Arial"/>
              </w:rPr>
            </w:pPr>
            <w:r>
              <w:rPr>
                <w:rFonts w:cs="Arial"/>
              </w:rPr>
              <w:t>Part 9.3(b)</w:t>
            </w:r>
          </w:p>
          <w:p w14:paraId="00D75C95" w14:textId="11E29366" w:rsidR="003F0CC9" w:rsidRPr="00995675" w:rsidRDefault="00A35415" w:rsidP="00A35415">
            <w:pPr>
              <w:rPr>
                <w:rFonts w:eastAsia="Calibri"/>
                <w:color w:val="FF0000"/>
              </w:rPr>
            </w:pPr>
            <w:r>
              <w:rPr>
                <w:rFonts w:cs="Arial"/>
              </w:rPr>
              <w:lastRenderedPageBreak/>
              <w:t>Role of Head of Paid Service</w:t>
            </w:r>
          </w:p>
        </w:tc>
        <w:tc>
          <w:tcPr>
            <w:tcW w:w="3828" w:type="dxa"/>
          </w:tcPr>
          <w:p w14:paraId="61077F84" w14:textId="5E7F75D0" w:rsidR="003F0CC9" w:rsidRPr="00A35415" w:rsidRDefault="00A35415" w:rsidP="00A35415">
            <w:pPr>
              <w:spacing w:after="0"/>
              <w:contextualSpacing/>
              <w:rPr>
                <w:rFonts w:eastAsia="Calibri"/>
                <w:color w:val="FF0000"/>
              </w:rPr>
            </w:pPr>
            <w:r w:rsidRPr="00DD7F94">
              <w:rPr>
                <w:rFonts w:cs="Arial"/>
              </w:rPr>
              <w:lastRenderedPageBreak/>
              <w:t xml:space="preserve">To </w:t>
            </w:r>
            <w:r>
              <w:rPr>
                <w:rFonts w:cs="Arial"/>
              </w:rPr>
              <w:t xml:space="preserve">include provision for the Chief Executive to delegate urgency powers to an Executive Director </w:t>
            </w:r>
            <w:r>
              <w:rPr>
                <w:rFonts w:cs="Arial"/>
              </w:rPr>
              <w:lastRenderedPageBreak/>
              <w:t>in exceptional circumstances, when there is a conflict of interest which would preclude the Chief Executive from making the decision. Also to add reference to an</w:t>
            </w:r>
            <w:r>
              <w:rPr>
                <w:rFonts w:cs="Arial"/>
                <w:i/>
              </w:rPr>
              <w:t xml:space="preserve"> individual </w:t>
            </w:r>
            <w:r>
              <w:rPr>
                <w:rFonts w:cs="Arial"/>
              </w:rPr>
              <w:t>or body which would normally be required to act.</w:t>
            </w:r>
          </w:p>
        </w:tc>
        <w:tc>
          <w:tcPr>
            <w:tcW w:w="4677" w:type="dxa"/>
          </w:tcPr>
          <w:p w14:paraId="77B3DE6A" w14:textId="4A3605E6" w:rsidR="003F0CC9" w:rsidRPr="00995675" w:rsidRDefault="00A35415" w:rsidP="002F3FCE">
            <w:pPr>
              <w:rPr>
                <w:rFonts w:eastAsia="Calibri"/>
                <w:color w:val="FF0000"/>
              </w:rPr>
            </w:pPr>
            <w:r>
              <w:rPr>
                <w:rFonts w:cs="Arial"/>
              </w:rPr>
              <w:lastRenderedPageBreak/>
              <w:t xml:space="preserve">The Chief Executive’s involvement in Council Joint Ventures could lead to a situation where the urgency powers </w:t>
            </w:r>
            <w:r>
              <w:rPr>
                <w:rFonts w:cs="Arial"/>
              </w:rPr>
              <w:lastRenderedPageBreak/>
              <w:t>cannot be used as the Chief Executive has a conflict of interest.</w:t>
            </w:r>
          </w:p>
        </w:tc>
      </w:tr>
      <w:tr w:rsidR="00A35415" w:rsidRPr="00995675" w14:paraId="6457FA22" w14:textId="77777777" w:rsidTr="00D25AD1">
        <w:tc>
          <w:tcPr>
            <w:tcW w:w="2014" w:type="dxa"/>
          </w:tcPr>
          <w:p w14:paraId="121B4F04" w14:textId="77777777" w:rsidR="00613449" w:rsidRDefault="00613449" w:rsidP="00613449">
            <w:pPr>
              <w:rPr>
                <w:rFonts w:cs="Arial"/>
              </w:rPr>
            </w:pPr>
            <w:r>
              <w:rPr>
                <w:rFonts w:cs="Arial"/>
              </w:rPr>
              <w:lastRenderedPageBreak/>
              <w:t>Part 11.15</w:t>
            </w:r>
          </w:p>
          <w:p w14:paraId="3A8DF7F6" w14:textId="3CB30E04" w:rsidR="00A35415" w:rsidRDefault="00613449" w:rsidP="00613449">
            <w:pPr>
              <w:rPr>
                <w:rFonts w:cs="Arial"/>
              </w:rPr>
            </w:pPr>
            <w:r>
              <w:rPr>
                <w:rFonts w:cs="Arial"/>
              </w:rPr>
              <w:t>Petitions to full Council</w:t>
            </w:r>
          </w:p>
        </w:tc>
        <w:tc>
          <w:tcPr>
            <w:tcW w:w="3828" w:type="dxa"/>
          </w:tcPr>
          <w:p w14:paraId="736E5E92" w14:textId="02E26A12" w:rsidR="00A35415" w:rsidRPr="00DD7F94" w:rsidRDefault="00613449" w:rsidP="00A35415">
            <w:pPr>
              <w:spacing w:after="0"/>
              <w:contextualSpacing/>
              <w:rPr>
                <w:rFonts w:cs="Arial"/>
              </w:rPr>
            </w:pPr>
            <w:r w:rsidRPr="00DD7F94">
              <w:rPr>
                <w:rFonts w:cs="Arial"/>
              </w:rPr>
              <w:t xml:space="preserve">To </w:t>
            </w:r>
            <w:r>
              <w:rPr>
                <w:rFonts w:cs="Arial"/>
              </w:rPr>
              <w:t>tighten up the section on petitions to Full Council.</w:t>
            </w:r>
          </w:p>
        </w:tc>
        <w:tc>
          <w:tcPr>
            <w:tcW w:w="4677" w:type="dxa"/>
          </w:tcPr>
          <w:p w14:paraId="6C2F0ECF" w14:textId="265D49F6" w:rsidR="00A35415" w:rsidRDefault="00613449" w:rsidP="00A35415">
            <w:pPr>
              <w:rPr>
                <w:rFonts w:cs="Arial"/>
              </w:rPr>
            </w:pPr>
            <w:r>
              <w:rPr>
                <w:rFonts w:cs="Arial"/>
              </w:rPr>
              <w:t>The current provisions are not as clear as they could be and would benefit from more detail.</w:t>
            </w:r>
          </w:p>
        </w:tc>
      </w:tr>
      <w:tr w:rsidR="00613449" w:rsidRPr="00995675" w14:paraId="5575C9F3" w14:textId="77777777" w:rsidTr="00D25AD1">
        <w:tc>
          <w:tcPr>
            <w:tcW w:w="2014" w:type="dxa"/>
          </w:tcPr>
          <w:p w14:paraId="245DBF0C" w14:textId="77777777" w:rsidR="00613449" w:rsidRDefault="00613449" w:rsidP="00613449">
            <w:pPr>
              <w:rPr>
                <w:rFonts w:cs="Arial"/>
              </w:rPr>
            </w:pPr>
            <w:r>
              <w:rPr>
                <w:rFonts w:cs="Arial"/>
              </w:rPr>
              <w:t>Part 11.20</w:t>
            </w:r>
          </w:p>
          <w:p w14:paraId="457E5C5C" w14:textId="3B770467" w:rsidR="00613449" w:rsidRDefault="00613449" w:rsidP="00613449">
            <w:pPr>
              <w:rPr>
                <w:rFonts w:cs="Arial"/>
              </w:rPr>
            </w:pPr>
            <w:r>
              <w:rPr>
                <w:rFonts w:cs="Arial"/>
              </w:rPr>
              <w:t>Rules of debate</w:t>
            </w:r>
          </w:p>
        </w:tc>
        <w:tc>
          <w:tcPr>
            <w:tcW w:w="3828" w:type="dxa"/>
          </w:tcPr>
          <w:p w14:paraId="1BAA1050" w14:textId="54015C9A" w:rsidR="00613449" w:rsidRPr="00DD7F94" w:rsidRDefault="00613449" w:rsidP="00A35415">
            <w:pPr>
              <w:spacing w:after="0"/>
              <w:contextualSpacing/>
              <w:rPr>
                <w:rFonts w:cs="Arial"/>
              </w:rPr>
            </w:pPr>
            <w:r>
              <w:rPr>
                <w:rFonts w:cs="Arial"/>
              </w:rPr>
              <w:t>To clarify the rules of debate, including provisions for debating minor technical amendments and debating two similar motions together, with a separate vote on each. Clarity around right of reply and provisions for a member agreeing to an amendment on their motion (at what point)</w:t>
            </w:r>
            <w:r w:rsidR="00D83344">
              <w:rPr>
                <w:rFonts w:cs="Arial"/>
              </w:rPr>
              <w:t>.</w:t>
            </w:r>
          </w:p>
        </w:tc>
        <w:tc>
          <w:tcPr>
            <w:tcW w:w="4677" w:type="dxa"/>
          </w:tcPr>
          <w:p w14:paraId="66408D33" w14:textId="6D36F80B" w:rsidR="00613449" w:rsidRPr="00613449" w:rsidRDefault="00613449" w:rsidP="00A35415">
            <w:pPr>
              <w:rPr>
                <w:rFonts w:cs="Arial"/>
                <w:i/>
              </w:rPr>
            </w:pPr>
            <w:r>
              <w:rPr>
                <w:rFonts w:cs="Arial"/>
              </w:rPr>
              <w:t>For clarity (</w:t>
            </w:r>
            <w:r>
              <w:rPr>
                <w:rFonts w:cs="Arial"/>
                <w:i/>
              </w:rPr>
              <w:t>see Appendix A, proposal 28 for full detail).</w:t>
            </w:r>
          </w:p>
        </w:tc>
      </w:tr>
      <w:tr w:rsidR="00613449" w:rsidRPr="00995675" w14:paraId="4E26E542" w14:textId="77777777" w:rsidTr="00D25AD1">
        <w:tc>
          <w:tcPr>
            <w:tcW w:w="2014" w:type="dxa"/>
          </w:tcPr>
          <w:p w14:paraId="4535E1DA" w14:textId="77777777" w:rsidR="00613449" w:rsidRDefault="00613449" w:rsidP="00613449">
            <w:pPr>
              <w:rPr>
                <w:rFonts w:cs="Arial"/>
              </w:rPr>
            </w:pPr>
            <w:r>
              <w:rPr>
                <w:rFonts w:cs="Arial"/>
              </w:rPr>
              <w:t>Part 15.14(a)</w:t>
            </w:r>
          </w:p>
          <w:p w14:paraId="0D6D68CD" w14:textId="3F264FF9" w:rsidR="00613449" w:rsidRDefault="00613449" w:rsidP="00613449">
            <w:pPr>
              <w:rPr>
                <w:rFonts w:cs="Arial"/>
              </w:rPr>
            </w:pPr>
            <w:r>
              <w:rPr>
                <w:rFonts w:cs="Arial"/>
              </w:rPr>
              <w:t>Key decisions</w:t>
            </w:r>
          </w:p>
        </w:tc>
        <w:tc>
          <w:tcPr>
            <w:tcW w:w="3828" w:type="dxa"/>
          </w:tcPr>
          <w:p w14:paraId="395A2C02" w14:textId="3460D37E" w:rsidR="00613449" w:rsidRDefault="00613449" w:rsidP="00A35415">
            <w:pPr>
              <w:spacing w:after="0"/>
              <w:contextualSpacing/>
              <w:rPr>
                <w:rFonts w:cs="Arial"/>
              </w:rPr>
            </w:pPr>
            <w:r w:rsidRPr="00DD7F94">
              <w:rPr>
                <w:rFonts w:cs="Arial"/>
              </w:rPr>
              <w:t xml:space="preserve">To </w:t>
            </w:r>
            <w:r>
              <w:rPr>
                <w:rFonts w:cs="Arial"/>
              </w:rPr>
              <w:t>include ‘income’ over a certain amount as amounting to a key decision.</w:t>
            </w:r>
          </w:p>
        </w:tc>
        <w:tc>
          <w:tcPr>
            <w:tcW w:w="4677" w:type="dxa"/>
          </w:tcPr>
          <w:p w14:paraId="535710A8" w14:textId="53F767DB" w:rsidR="00613449" w:rsidRDefault="00613449" w:rsidP="00A35415">
            <w:pPr>
              <w:rPr>
                <w:rFonts w:cs="Arial"/>
              </w:rPr>
            </w:pPr>
            <w:r>
              <w:rPr>
                <w:rFonts w:cs="Arial"/>
              </w:rPr>
              <w:t>To ensure clarity across the organisation, as it is a common query when the Council is due to receive a significant value of income.</w:t>
            </w:r>
          </w:p>
        </w:tc>
      </w:tr>
    </w:tbl>
    <w:p w14:paraId="0148647A" w14:textId="77777777" w:rsidR="00C63C3B" w:rsidRPr="00995675" w:rsidRDefault="00C63C3B" w:rsidP="00C63C3B">
      <w:pPr>
        <w:spacing w:after="0"/>
        <w:rPr>
          <w:color w:val="FF0000"/>
        </w:rPr>
      </w:pPr>
    </w:p>
    <w:p w14:paraId="51434C6C" w14:textId="11108273" w:rsidR="00E039CD" w:rsidRPr="00873FC6" w:rsidRDefault="008A5929" w:rsidP="00873FC6">
      <w:pPr>
        <w:pStyle w:val="ListParagraph"/>
        <w:numPr>
          <w:ilvl w:val="0"/>
          <w:numId w:val="34"/>
        </w:numPr>
        <w:jc w:val="both"/>
        <w:rPr>
          <w:color w:val="auto"/>
        </w:rPr>
      </w:pPr>
      <w:r w:rsidRPr="00873FC6">
        <w:rPr>
          <w:color w:val="auto"/>
        </w:rPr>
        <w:t xml:space="preserve">Council is asked to approve the proposed amendments and to delegate authority to the Head of Law and Governance to make any other amendments necessary to ensure consistency throughout the Constitution, subsequent to the changes approved by Council. </w:t>
      </w:r>
      <w:r w:rsidR="00E039CD" w:rsidRPr="00873FC6">
        <w:rPr>
          <w:color w:val="auto"/>
        </w:rPr>
        <w:t>It is proposed that the changes agreed by Council will be effective from the date of the ne</w:t>
      </w:r>
      <w:r w:rsidR="00873FC6" w:rsidRPr="00873FC6">
        <w:rPr>
          <w:color w:val="auto"/>
        </w:rPr>
        <w:t>xt Annual Council meeting, on 17 May 2023</w:t>
      </w:r>
      <w:r w:rsidR="00E039CD" w:rsidRPr="00873FC6">
        <w:rPr>
          <w:color w:val="auto"/>
        </w:rPr>
        <w:t>.</w:t>
      </w:r>
    </w:p>
    <w:p w14:paraId="1DD7BC9B" w14:textId="77777777" w:rsidR="00FB57B4" w:rsidRPr="00995675" w:rsidRDefault="00FB57B4" w:rsidP="00FB0487">
      <w:pPr>
        <w:pStyle w:val="bParagraphtext"/>
        <w:rPr>
          <w:rStyle w:val="ListParagraphChar"/>
          <w:b/>
          <w:color w:val="FF0000"/>
        </w:rPr>
      </w:pPr>
    </w:p>
    <w:p w14:paraId="786B3E6D" w14:textId="77777777" w:rsidR="007B47A7" w:rsidRPr="00873FC6" w:rsidRDefault="007B47A7" w:rsidP="00FB0487">
      <w:pPr>
        <w:pStyle w:val="bParagraphtext"/>
        <w:rPr>
          <w:rStyle w:val="ListParagraphChar"/>
          <w:b/>
          <w:color w:val="auto"/>
        </w:rPr>
      </w:pPr>
      <w:r w:rsidRPr="00873FC6">
        <w:rPr>
          <w:rStyle w:val="ListParagraphChar"/>
          <w:b/>
          <w:color w:val="auto"/>
        </w:rPr>
        <w:t>Monitoring Officer’s use of delegated authority</w:t>
      </w:r>
    </w:p>
    <w:p w14:paraId="4546DDAC" w14:textId="1E6A1A88" w:rsidR="00E039CD" w:rsidRPr="00873FC6" w:rsidRDefault="00DD068B" w:rsidP="00873FC6">
      <w:pPr>
        <w:pStyle w:val="ListParagraph"/>
        <w:numPr>
          <w:ilvl w:val="0"/>
          <w:numId w:val="34"/>
        </w:numPr>
        <w:tabs>
          <w:tab w:val="clear" w:pos="426"/>
        </w:tabs>
        <w:spacing w:after="0"/>
        <w:ind w:left="567" w:hanging="567"/>
        <w:contextualSpacing/>
        <w:jc w:val="both"/>
        <w:rPr>
          <w:color w:val="auto"/>
        </w:rPr>
      </w:pPr>
      <w:r w:rsidRPr="00873FC6">
        <w:rPr>
          <w:rStyle w:val="ListParagraphChar"/>
          <w:color w:val="auto"/>
        </w:rPr>
        <w:t xml:space="preserve">Part 2.5 of the Constitution </w:t>
      </w:r>
      <w:r w:rsidR="00E039CD" w:rsidRPr="00873FC6">
        <w:rPr>
          <w:rStyle w:val="ListParagraphChar"/>
          <w:color w:val="auto"/>
        </w:rPr>
        <w:t>provides</w:t>
      </w:r>
      <w:r w:rsidRPr="00873FC6">
        <w:rPr>
          <w:rStyle w:val="ListParagraphChar"/>
          <w:color w:val="auto"/>
        </w:rPr>
        <w:t xml:space="preserve"> that the Monitoring Officer can </w:t>
      </w:r>
      <w:r w:rsidR="00B3105C">
        <w:rPr>
          <w:rStyle w:val="ListParagraphChar"/>
          <w:color w:val="auto"/>
        </w:rPr>
        <w:t>amend</w:t>
      </w:r>
      <w:r w:rsidRPr="00873FC6">
        <w:rPr>
          <w:rStyle w:val="ListParagraphChar"/>
          <w:color w:val="auto"/>
        </w:rPr>
        <w:t xml:space="preserve"> the Constitution if it is to put right clerical mistakes or to make it follow the law. </w:t>
      </w:r>
      <w:r w:rsidR="00CE6151" w:rsidRPr="00873FC6">
        <w:rPr>
          <w:rStyle w:val="ListParagraphChar"/>
          <w:color w:val="auto"/>
        </w:rPr>
        <w:t>T</w:t>
      </w:r>
      <w:r w:rsidR="00997B37" w:rsidRPr="00873FC6">
        <w:rPr>
          <w:rStyle w:val="ListParagraphChar"/>
          <w:color w:val="auto"/>
        </w:rPr>
        <w:t xml:space="preserve">he </w:t>
      </w:r>
      <w:r w:rsidR="00E715C7" w:rsidRPr="00873FC6">
        <w:rPr>
          <w:rStyle w:val="ListParagraphChar"/>
          <w:color w:val="auto"/>
        </w:rPr>
        <w:t xml:space="preserve">Monitoring Officer </w:t>
      </w:r>
      <w:r w:rsidRPr="00873FC6">
        <w:rPr>
          <w:rStyle w:val="ListParagraphChar"/>
          <w:color w:val="auto"/>
        </w:rPr>
        <w:t xml:space="preserve">has used </w:t>
      </w:r>
      <w:r w:rsidR="00873FC6" w:rsidRPr="00873FC6">
        <w:rPr>
          <w:rStyle w:val="ListParagraphChar"/>
          <w:color w:val="auto"/>
        </w:rPr>
        <w:t>their</w:t>
      </w:r>
      <w:r w:rsidR="00E715C7" w:rsidRPr="00873FC6">
        <w:rPr>
          <w:rStyle w:val="ListParagraphChar"/>
          <w:color w:val="auto"/>
        </w:rPr>
        <w:t xml:space="preserve"> delegated authority</w:t>
      </w:r>
      <w:r w:rsidR="00C51932" w:rsidRPr="00873FC6">
        <w:rPr>
          <w:rStyle w:val="ListParagraphChar"/>
          <w:color w:val="auto"/>
        </w:rPr>
        <w:t xml:space="preserve"> </w:t>
      </w:r>
      <w:r w:rsidR="00E715C7" w:rsidRPr="00873FC6">
        <w:rPr>
          <w:rStyle w:val="ListParagraphChar"/>
          <w:color w:val="auto"/>
        </w:rPr>
        <w:t xml:space="preserve">to make any changes necessary to ensure the Constitution continues to reflect the law, </w:t>
      </w:r>
      <w:r w:rsidR="000E2EB7" w:rsidRPr="00873FC6">
        <w:rPr>
          <w:rStyle w:val="ListParagraphChar"/>
          <w:color w:val="auto"/>
        </w:rPr>
        <w:t xml:space="preserve">revise job titles </w:t>
      </w:r>
      <w:r w:rsidR="00E715C7" w:rsidRPr="00873FC6">
        <w:rPr>
          <w:rStyle w:val="ListParagraphChar"/>
          <w:color w:val="auto"/>
        </w:rPr>
        <w:t xml:space="preserve">and to correct clerical mistakes and inconsistencies.  </w:t>
      </w:r>
    </w:p>
    <w:p w14:paraId="4AB2F5E9" w14:textId="77777777" w:rsidR="00CE6151" w:rsidRPr="00995675" w:rsidRDefault="00CE6151" w:rsidP="00CE6151">
      <w:pPr>
        <w:pStyle w:val="ListParagraph"/>
        <w:tabs>
          <w:tab w:val="clear" w:pos="426"/>
        </w:tabs>
        <w:spacing w:after="0"/>
        <w:ind w:left="567"/>
        <w:contextualSpacing/>
        <w:rPr>
          <w:rStyle w:val="ListParagraphChar"/>
          <w:color w:val="FF0000"/>
        </w:rPr>
      </w:pPr>
    </w:p>
    <w:p w14:paraId="4E90D119" w14:textId="77777777" w:rsidR="00DD068B" w:rsidRPr="00873FC6" w:rsidRDefault="00E039CD" w:rsidP="00CA5357">
      <w:pPr>
        <w:pStyle w:val="Heading1"/>
        <w:spacing w:before="0"/>
        <w:rPr>
          <w:color w:val="auto"/>
        </w:rPr>
      </w:pPr>
      <w:r w:rsidRPr="00873FC6">
        <w:rPr>
          <w:color w:val="auto"/>
        </w:rPr>
        <w:t xml:space="preserve">Financial </w:t>
      </w:r>
      <w:r w:rsidR="002329CF" w:rsidRPr="00873FC6">
        <w:rPr>
          <w:color w:val="auto"/>
        </w:rPr>
        <w:t>implications</w:t>
      </w:r>
    </w:p>
    <w:p w14:paraId="24B283AD" w14:textId="77777777" w:rsidR="00E87F7A" w:rsidRPr="00873FC6" w:rsidRDefault="0069476D" w:rsidP="00D6291F">
      <w:pPr>
        <w:pStyle w:val="ListParagraph"/>
        <w:numPr>
          <w:ilvl w:val="0"/>
          <w:numId w:val="34"/>
        </w:numPr>
        <w:tabs>
          <w:tab w:val="clear" w:pos="426"/>
        </w:tabs>
        <w:spacing w:after="0"/>
        <w:ind w:left="567" w:hanging="567"/>
        <w:rPr>
          <w:color w:val="auto"/>
        </w:rPr>
      </w:pPr>
      <w:r w:rsidRPr="00873FC6">
        <w:rPr>
          <w:color w:val="auto"/>
        </w:rPr>
        <w:t>There are no financial implications arising from the recommendations contained in this report.</w:t>
      </w:r>
    </w:p>
    <w:p w14:paraId="6F724449" w14:textId="77777777" w:rsidR="002D6F34" w:rsidRPr="00995675" w:rsidRDefault="002D6F34" w:rsidP="00D6291F">
      <w:pPr>
        <w:pStyle w:val="ListParagraph"/>
        <w:spacing w:after="0"/>
        <w:ind w:left="567" w:hanging="567"/>
        <w:rPr>
          <w:color w:val="FF0000"/>
        </w:rPr>
      </w:pPr>
    </w:p>
    <w:p w14:paraId="0DB28674" w14:textId="77777777" w:rsidR="0040736F" w:rsidRPr="00873FC6" w:rsidRDefault="00DA614B" w:rsidP="00D6291F">
      <w:pPr>
        <w:pStyle w:val="Heading1"/>
        <w:spacing w:before="0"/>
        <w:ind w:left="567" w:hanging="567"/>
        <w:rPr>
          <w:color w:val="auto"/>
        </w:rPr>
      </w:pPr>
      <w:r w:rsidRPr="00873FC6">
        <w:rPr>
          <w:color w:val="auto"/>
        </w:rPr>
        <w:t>Legal issues</w:t>
      </w:r>
    </w:p>
    <w:p w14:paraId="14DCD334" w14:textId="613D2854" w:rsidR="00DD068B" w:rsidRPr="00873FC6" w:rsidRDefault="00DD068B" w:rsidP="00873FC6">
      <w:pPr>
        <w:pStyle w:val="ListParagraph"/>
        <w:numPr>
          <w:ilvl w:val="0"/>
          <w:numId w:val="34"/>
        </w:numPr>
        <w:tabs>
          <w:tab w:val="clear" w:pos="426"/>
          <w:tab w:val="left" w:pos="567"/>
        </w:tabs>
        <w:spacing w:after="0"/>
        <w:ind w:left="567" w:hanging="567"/>
        <w:jc w:val="both"/>
        <w:rPr>
          <w:color w:val="auto"/>
        </w:rPr>
      </w:pPr>
      <w:r w:rsidRPr="00873FC6">
        <w:rPr>
          <w:color w:val="auto"/>
        </w:rPr>
        <w:t>A local authority is under a duty to p</w:t>
      </w:r>
      <w:r w:rsidR="00873FC6" w:rsidRPr="00873FC6">
        <w:rPr>
          <w:color w:val="auto"/>
        </w:rPr>
        <w:t>repare and keep up to date its C</w:t>
      </w:r>
      <w:r w:rsidRPr="00873FC6">
        <w:rPr>
          <w:color w:val="auto"/>
        </w:rPr>
        <w:t>onstitution under section 9P of the Local Government Act 2000 as amended. The Constitution must contain:</w:t>
      </w:r>
    </w:p>
    <w:p w14:paraId="769F3B2B" w14:textId="77777777" w:rsidR="00E039CD" w:rsidRPr="00995675" w:rsidRDefault="00E039CD" w:rsidP="00E039CD">
      <w:pPr>
        <w:pStyle w:val="ListParagraph"/>
        <w:tabs>
          <w:tab w:val="clear" w:pos="426"/>
          <w:tab w:val="left" w:pos="567"/>
        </w:tabs>
        <w:spacing w:after="0"/>
        <w:ind w:left="567"/>
        <w:rPr>
          <w:color w:val="FF0000"/>
        </w:rPr>
      </w:pPr>
    </w:p>
    <w:p w14:paraId="55ADD32F" w14:textId="77777777" w:rsidR="00DD068B" w:rsidRPr="00873FC6" w:rsidRDefault="0034623D" w:rsidP="00DD068B">
      <w:pPr>
        <w:pStyle w:val="ListParagraph"/>
        <w:numPr>
          <w:ilvl w:val="0"/>
          <w:numId w:val="43"/>
        </w:numPr>
        <w:spacing w:after="0"/>
        <w:ind w:firstLine="633"/>
        <w:rPr>
          <w:color w:val="auto"/>
        </w:rPr>
      </w:pPr>
      <w:r w:rsidRPr="00873FC6">
        <w:rPr>
          <w:color w:val="auto"/>
        </w:rPr>
        <w:t xml:space="preserve">the Council’s </w:t>
      </w:r>
      <w:r w:rsidR="00DD068B" w:rsidRPr="00873FC6">
        <w:rPr>
          <w:color w:val="auto"/>
        </w:rPr>
        <w:t>standing orders/procedure rules;</w:t>
      </w:r>
    </w:p>
    <w:p w14:paraId="088BA7F1" w14:textId="77777777" w:rsidR="00DD068B" w:rsidRPr="00873FC6" w:rsidRDefault="0034623D" w:rsidP="00DD068B">
      <w:pPr>
        <w:pStyle w:val="ListParagraph"/>
        <w:numPr>
          <w:ilvl w:val="0"/>
          <w:numId w:val="43"/>
        </w:numPr>
        <w:spacing w:after="0"/>
        <w:ind w:firstLine="633"/>
        <w:rPr>
          <w:color w:val="auto"/>
        </w:rPr>
      </w:pPr>
      <w:r w:rsidRPr="00873FC6">
        <w:rPr>
          <w:color w:val="auto"/>
        </w:rPr>
        <w:lastRenderedPageBreak/>
        <w:t xml:space="preserve">the Council’s </w:t>
      </w:r>
      <w:r w:rsidR="00DD068B" w:rsidRPr="00873FC6">
        <w:rPr>
          <w:color w:val="auto"/>
        </w:rPr>
        <w:t>members' code of conduct;</w:t>
      </w:r>
    </w:p>
    <w:p w14:paraId="70B6714F" w14:textId="77777777" w:rsidR="00DD068B" w:rsidRPr="00873FC6" w:rsidRDefault="00DD068B" w:rsidP="00DD068B">
      <w:pPr>
        <w:pStyle w:val="ListParagraph"/>
        <w:numPr>
          <w:ilvl w:val="0"/>
          <w:numId w:val="43"/>
        </w:numPr>
        <w:spacing w:after="0"/>
        <w:ind w:firstLine="633"/>
        <w:rPr>
          <w:color w:val="auto"/>
        </w:rPr>
      </w:pPr>
      <w:r w:rsidRPr="00873FC6">
        <w:rPr>
          <w:color w:val="auto"/>
        </w:rPr>
        <w:t>such information as the Secretary of State may direct;</w:t>
      </w:r>
      <w:r w:rsidR="0034623D" w:rsidRPr="00873FC6">
        <w:rPr>
          <w:color w:val="auto"/>
        </w:rPr>
        <w:t xml:space="preserve"> and</w:t>
      </w:r>
    </w:p>
    <w:p w14:paraId="2225DCB6" w14:textId="77777777" w:rsidR="00DD068B" w:rsidRPr="00873FC6" w:rsidRDefault="00DD068B" w:rsidP="00DD068B">
      <w:pPr>
        <w:pStyle w:val="ListParagraph"/>
        <w:numPr>
          <w:ilvl w:val="0"/>
          <w:numId w:val="43"/>
        </w:numPr>
        <w:spacing w:after="0"/>
        <w:ind w:firstLine="633"/>
        <w:rPr>
          <w:color w:val="auto"/>
        </w:rPr>
      </w:pPr>
      <w:proofErr w:type="gramStart"/>
      <w:r w:rsidRPr="00873FC6">
        <w:rPr>
          <w:color w:val="auto"/>
        </w:rPr>
        <w:t>such</w:t>
      </w:r>
      <w:proofErr w:type="gramEnd"/>
      <w:r w:rsidRPr="00873FC6">
        <w:rPr>
          <w:color w:val="auto"/>
        </w:rPr>
        <w:t xml:space="preserve"> other information (if any) as the authority considers appropriate.</w:t>
      </w:r>
    </w:p>
    <w:p w14:paraId="2190F315" w14:textId="77777777" w:rsidR="00DD068B" w:rsidRPr="00995675" w:rsidRDefault="00DD068B" w:rsidP="00DD068B">
      <w:pPr>
        <w:spacing w:after="0"/>
        <w:ind w:left="993"/>
        <w:rPr>
          <w:color w:val="FF0000"/>
        </w:rPr>
      </w:pPr>
    </w:p>
    <w:p w14:paraId="50CA329C" w14:textId="0FD63994" w:rsidR="00DD068B" w:rsidRPr="00873FC6" w:rsidRDefault="00DD068B" w:rsidP="00873FC6">
      <w:pPr>
        <w:pStyle w:val="ListParagraph"/>
        <w:numPr>
          <w:ilvl w:val="0"/>
          <w:numId w:val="34"/>
        </w:numPr>
        <w:tabs>
          <w:tab w:val="clear" w:pos="426"/>
        </w:tabs>
        <w:spacing w:after="0"/>
        <w:ind w:left="567" w:hanging="567"/>
        <w:jc w:val="both"/>
        <w:rPr>
          <w:color w:val="auto"/>
        </w:rPr>
      </w:pPr>
      <w:r w:rsidRPr="00873FC6">
        <w:rPr>
          <w:rFonts w:cs="Arial"/>
          <w:color w:val="auto"/>
          <w:shd w:val="clear" w:color="auto" w:fill="FFFFFF"/>
        </w:rPr>
        <w:t xml:space="preserve">A Constitution Direction was issued by the Secretary of State in December 2000 that required around 80 matters to be included within </w:t>
      </w:r>
      <w:r w:rsidR="00B3105C">
        <w:rPr>
          <w:rFonts w:cs="Arial"/>
          <w:color w:val="auto"/>
          <w:shd w:val="clear" w:color="auto" w:fill="FFFFFF"/>
        </w:rPr>
        <w:t>constitutions, covering m</w:t>
      </w:r>
      <w:r w:rsidRPr="00873FC6">
        <w:rPr>
          <w:rFonts w:cs="Arial"/>
          <w:color w:val="auto"/>
          <w:shd w:val="clear" w:color="auto" w:fill="FFFFFF"/>
        </w:rPr>
        <w:t>embers' allowances schemes, details of procedures for meetings, details of joint arrangements with other local authorities and a description of the rights of inhabitants of the area, amongst other things.</w:t>
      </w:r>
    </w:p>
    <w:p w14:paraId="78047D89" w14:textId="77777777" w:rsidR="00DD068B" w:rsidRPr="00995675" w:rsidRDefault="00DD068B" w:rsidP="00DD068B">
      <w:pPr>
        <w:spacing w:after="0"/>
        <w:rPr>
          <w:color w:val="FF0000"/>
        </w:rPr>
      </w:pPr>
      <w:bookmarkStart w:id="0" w:name="_GoBack"/>
      <w:bookmarkEnd w:id="0"/>
    </w:p>
    <w:p w14:paraId="5F50DC11" w14:textId="468261FA" w:rsidR="00E87F7A" w:rsidRPr="00873FC6" w:rsidRDefault="00CE6151" w:rsidP="00873FC6">
      <w:pPr>
        <w:pStyle w:val="ListParagraph"/>
        <w:numPr>
          <w:ilvl w:val="0"/>
          <w:numId w:val="34"/>
        </w:numPr>
        <w:tabs>
          <w:tab w:val="clear" w:pos="426"/>
        </w:tabs>
        <w:spacing w:after="0"/>
        <w:ind w:left="567" w:hanging="567"/>
        <w:jc w:val="both"/>
        <w:rPr>
          <w:rStyle w:val="ListParagraphChar"/>
          <w:color w:val="auto"/>
        </w:rPr>
      </w:pPr>
      <w:r w:rsidRPr="00873FC6">
        <w:rPr>
          <w:color w:val="auto"/>
        </w:rPr>
        <w:t xml:space="preserve">As set out in paragraph </w:t>
      </w:r>
      <w:r w:rsidR="00D83344" w:rsidRPr="00D83344">
        <w:rPr>
          <w:color w:val="auto"/>
        </w:rPr>
        <w:t>9</w:t>
      </w:r>
      <w:r w:rsidRPr="00873FC6">
        <w:rPr>
          <w:color w:val="auto"/>
        </w:rPr>
        <w:t xml:space="preserve"> </w:t>
      </w:r>
      <w:r w:rsidR="00E039CD" w:rsidRPr="00873FC6">
        <w:rPr>
          <w:color w:val="auto"/>
        </w:rPr>
        <w:t>t</w:t>
      </w:r>
      <w:r w:rsidR="001A5A60" w:rsidRPr="00873FC6">
        <w:rPr>
          <w:color w:val="auto"/>
        </w:rPr>
        <w:t xml:space="preserve">he Monitoring Officer has delegated authority to </w:t>
      </w:r>
      <w:r w:rsidR="001A5A60" w:rsidRPr="00873FC6">
        <w:rPr>
          <w:rStyle w:val="ListParagraphChar"/>
          <w:color w:val="auto"/>
        </w:rPr>
        <w:t xml:space="preserve">make any </w:t>
      </w:r>
      <w:r w:rsidR="00B3105C">
        <w:rPr>
          <w:rStyle w:val="ListParagraphChar"/>
          <w:color w:val="auto"/>
        </w:rPr>
        <w:t>amendments</w:t>
      </w:r>
      <w:r w:rsidR="001A5A60" w:rsidRPr="00873FC6">
        <w:rPr>
          <w:rStyle w:val="ListParagraphChar"/>
          <w:color w:val="auto"/>
        </w:rPr>
        <w:t xml:space="preserve"> necessary to ensure the Constitution continues to reflect the law.  </w:t>
      </w:r>
    </w:p>
    <w:p w14:paraId="3C175636" w14:textId="77777777" w:rsidR="00DD068B" w:rsidRPr="00995675" w:rsidRDefault="00DD068B" w:rsidP="00DD068B">
      <w:pPr>
        <w:spacing w:after="0"/>
        <w:rPr>
          <w:rStyle w:val="ListParagraphChar"/>
          <w:color w:val="FF0000"/>
        </w:rPr>
      </w:pPr>
    </w:p>
    <w:p w14:paraId="66532DE1" w14:textId="77777777" w:rsidR="00DD068B" w:rsidRPr="00873FC6" w:rsidRDefault="00DD068B" w:rsidP="00873FC6">
      <w:pPr>
        <w:pStyle w:val="ListParagraph"/>
        <w:numPr>
          <w:ilvl w:val="0"/>
          <w:numId w:val="34"/>
        </w:numPr>
        <w:tabs>
          <w:tab w:val="clear" w:pos="426"/>
        </w:tabs>
        <w:spacing w:after="0"/>
        <w:ind w:left="567" w:hanging="567"/>
        <w:jc w:val="both"/>
        <w:rPr>
          <w:rStyle w:val="ListParagraphChar"/>
          <w:color w:val="auto"/>
        </w:rPr>
      </w:pPr>
      <w:r w:rsidRPr="00873FC6">
        <w:rPr>
          <w:rStyle w:val="ListParagraphChar"/>
          <w:color w:val="auto"/>
        </w:rPr>
        <w:t>There no other legal issues arising from the recommendations contained in this report.</w:t>
      </w:r>
    </w:p>
    <w:p w14:paraId="20140FE5" w14:textId="77777777" w:rsidR="009D469F" w:rsidRDefault="009D469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844757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CB2810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70CFCA1" w14:textId="77777777" w:rsidR="00E87F7A" w:rsidRPr="001356F1" w:rsidRDefault="00995675" w:rsidP="00A46E98">
            <w:r>
              <w:t>Alice Courtney</w:t>
            </w:r>
          </w:p>
        </w:tc>
      </w:tr>
      <w:tr w:rsidR="00DF093E" w:rsidRPr="001356F1" w14:paraId="399EFD9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55B534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B96F76E" w14:textId="77777777" w:rsidR="00E87F7A" w:rsidRPr="001356F1" w:rsidRDefault="00995675" w:rsidP="00A46E98">
            <w:r>
              <w:t>Committee &amp; Member Services Manager (Interim Acting)</w:t>
            </w:r>
          </w:p>
        </w:tc>
      </w:tr>
      <w:tr w:rsidR="00DF093E" w:rsidRPr="001356F1" w14:paraId="640F83B2" w14:textId="77777777" w:rsidTr="00A46E98">
        <w:trPr>
          <w:cantSplit/>
          <w:trHeight w:val="396"/>
        </w:trPr>
        <w:tc>
          <w:tcPr>
            <w:tcW w:w="3969" w:type="dxa"/>
            <w:tcBorders>
              <w:top w:val="nil"/>
              <w:left w:val="single" w:sz="8" w:space="0" w:color="000000"/>
              <w:bottom w:val="nil"/>
              <w:right w:val="nil"/>
            </w:tcBorders>
            <w:shd w:val="clear" w:color="auto" w:fill="auto"/>
          </w:tcPr>
          <w:p w14:paraId="23747B4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6A932D2" w14:textId="77777777" w:rsidR="00E87F7A" w:rsidRPr="001356F1" w:rsidRDefault="00D3675F" w:rsidP="00A46E98">
            <w:r>
              <w:t>Law and Governance</w:t>
            </w:r>
          </w:p>
        </w:tc>
      </w:tr>
      <w:tr w:rsidR="00DF093E" w:rsidRPr="001356F1" w14:paraId="0BC314BA" w14:textId="77777777" w:rsidTr="00A46E98">
        <w:trPr>
          <w:cantSplit/>
          <w:trHeight w:val="396"/>
        </w:trPr>
        <w:tc>
          <w:tcPr>
            <w:tcW w:w="3969" w:type="dxa"/>
            <w:tcBorders>
              <w:top w:val="nil"/>
              <w:left w:val="single" w:sz="8" w:space="0" w:color="000000"/>
              <w:bottom w:val="nil"/>
              <w:right w:val="nil"/>
            </w:tcBorders>
            <w:shd w:val="clear" w:color="auto" w:fill="auto"/>
          </w:tcPr>
          <w:p w14:paraId="423C2299"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80826BE" w14:textId="77777777" w:rsidR="00E87F7A" w:rsidRPr="001356F1" w:rsidRDefault="00D3675F" w:rsidP="00995675">
            <w:r w:rsidRPr="00C73D6B">
              <w:rPr>
                <w:color w:val="auto"/>
              </w:rPr>
              <w:t xml:space="preserve">01865 </w:t>
            </w:r>
            <w:r w:rsidR="00995675">
              <w:rPr>
                <w:color w:val="auto"/>
              </w:rPr>
              <w:t>529834</w:t>
            </w:r>
          </w:p>
        </w:tc>
      </w:tr>
      <w:tr w:rsidR="005570B5" w:rsidRPr="001356F1" w14:paraId="5E85C71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5FEE4E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EA0811B" w14:textId="77777777" w:rsidR="003530FF" w:rsidRPr="001356F1" w:rsidRDefault="00B3105C" w:rsidP="00995675">
            <w:pPr>
              <w:rPr>
                <w:rStyle w:val="Hyperlink"/>
                <w:color w:val="000000"/>
              </w:rPr>
            </w:pPr>
            <w:hyperlink r:id="rId8" w:history="1">
              <w:r w:rsidR="00995675" w:rsidRPr="002E3936">
                <w:rPr>
                  <w:rStyle w:val="Hyperlink"/>
                </w:rPr>
                <w:t>acourtney@oxford.gov.uk</w:t>
              </w:r>
            </w:hyperlink>
          </w:p>
        </w:tc>
      </w:tr>
    </w:tbl>
    <w:p w14:paraId="4D32C45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84434CF"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FA356C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BAAA4FE" w14:textId="77777777" w:rsidR="004456DD" w:rsidRPr="009E51FC" w:rsidRDefault="004456DD" w:rsidP="003530FF"/>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C7BD" w14:textId="77777777" w:rsidR="003C5B80" w:rsidRDefault="003C5B80" w:rsidP="004A6D2F">
      <w:r>
        <w:separator/>
      </w:r>
    </w:p>
  </w:endnote>
  <w:endnote w:type="continuationSeparator" w:id="0">
    <w:p w14:paraId="2DDFF4A7" w14:textId="77777777" w:rsidR="003C5B80" w:rsidRDefault="003C5B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B906" w14:textId="77777777" w:rsidR="00364FAD" w:rsidRDefault="00364FAD" w:rsidP="004A6D2F">
    <w:pPr>
      <w:pStyle w:val="Footer"/>
    </w:pPr>
    <w:r>
      <w:t>Do not use a footer or page numbers.</w:t>
    </w:r>
  </w:p>
  <w:p w14:paraId="2CF00C66" w14:textId="77777777" w:rsidR="00364FAD" w:rsidRDefault="00364FAD" w:rsidP="004A6D2F">
    <w:pPr>
      <w:pStyle w:val="Footer"/>
    </w:pPr>
  </w:p>
  <w:p w14:paraId="10186A3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D8D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4102" w14:textId="77777777" w:rsidR="003C5B80" w:rsidRDefault="003C5B80" w:rsidP="004A6D2F">
      <w:r>
        <w:separator/>
      </w:r>
    </w:p>
  </w:footnote>
  <w:footnote w:type="continuationSeparator" w:id="0">
    <w:p w14:paraId="379A590F" w14:textId="77777777" w:rsidR="003C5B80" w:rsidRDefault="003C5B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15DA" w14:textId="77777777" w:rsidR="00D5547E" w:rsidRDefault="00B67CCB" w:rsidP="00D5547E">
    <w:pPr>
      <w:pStyle w:val="Header"/>
      <w:jc w:val="right"/>
    </w:pPr>
    <w:r>
      <w:rPr>
        <w:noProof/>
      </w:rPr>
      <w:drawing>
        <wp:inline distT="0" distB="0" distL="0" distR="0" wp14:anchorId="6DB4D269" wp14:editId="4CF90A3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EA1C25"/>
    <w:multiLevelType w:val="hybridMultilevel"/>
    <w:tmpl w:val="FBAED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CE631F"/>
    <w:multiLevelType w:val="hybridMultilevel"/>
    <w:tmpl w:val="DF8A3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F83F66"/>
    <w:multiLevelType w:val="hybridMultilevel"/>
    <w:tmpl w:val="96BA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324C51"/>
    <w:multiLevelType w:val="hybridMultilevel"/>
    <w:tmpl w:val="024C5B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1A2020A"/>
    <w:multiLevelType w:val="hybridMultilevel"/>
    <w:tmpl w:val="B0AC2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127E85"/>
    <w:multiLevelType w:val="hybridMultilevel"/>
    <w:tmpl w:val="80B06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097197"/>
    <w:multiLevelType w:val="hybridMultilevel"/>
    <w:tmpl w:val="D32A713E"/>
    <w:lvl w:ilvl="0" w:tplc="D8B65CD0">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843AC"/>
    <w:multiLevelType w:val="hybridMultilevel"/>
    <w:tmpl w:val="C75238B2"/>
    <w:lvl w:ilvl="0" w:tplc="153E4C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5347414"/>
    <w:multiLevelType w:val="hybridMultilevel"/>
    <w:tmpl w:val="D460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AC172C"/>
    <w:multiLevelType w:val="hybridMultilevel"/>
    <w:tmpl w:val="8F3C6522"/>
    <w:lvl w:ilvl="0" w:tplc="55B0BBA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B404E"/>
    <w:multiLevelType w:val="hybridMultilevel"/>
    <w:tmpl w:val="BD5AA0A0"/>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6C496989"/>
    <w:multiLevelType w:val="singleLevel"/>
    <w:tmpl w:val="0809000F"/>
    <w:lvl w:ilvl="0">
      <w:start w:val="1"/>
      <w:numFmt w:val="decimal"/>
      <w:lvlText w:val="%1."/>
      <w:lvlJc w:val="left"/>
      <w:pPr>
        <w:ind w:left="360" w:hanging="360"/>
      </w:pPr>
      <w:rPr>
        <w:color w:val="000000"/>
        <w:sz w:val="24"/>
      </w:r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931B3A"/>
    <w:multiLevelType w:val="hybridMultilevel"/>
    <w:tmpl w:val="1162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0"/>
  </w:num>
  <w:num w:numId="3">
    <w:abstractNumId w:val="29"/>
  </w:num>
  <w:num w:numId="4">
    <w:abstractNumId w:val="23"/>
  </w:num>
  <w:num w:numId="5">
    <w:abstractNumId w:val="37"/>
  </w:num>
  <w:num w:numId="6">
    <w:abstractNumId w:val="43"/>
  </w:num>
  <w:num w:numId="7">
    <w:abstractNumId w:val="28"/>
  </w:num>
  <w:num w:numId="8">
    <w:abstractNumId w:val="25"/>
  </w:num>
  <w:num w:numId="9">
    <w:abstractNumId w:val="14"/>
  </w:num>
  <w:num w:numId="10">
    <w:abstractNumId w:val="19"/>
  </w:num>
  <w:num w:numId="11">
    <w:abstractNumId w:val="31"/>
  </w:num>
  <w:num w:numId="12">
    <w:abstractNumId w:val="30"/>
  </w:num>
  <w:num w:numId="13">
    <w:abstractNumId w:val="10"/>
  </w:num>
  <w:num w:numId="14">
    <w:abstractNumId w:val="42"/>
  </w:num>
  <w:num w:numId="15">
    <w:abstractNumId w:val="20"/>
  </w:num>
  <w:num w:numId="16">
    <w:abstractNumId w:val="11"/>
  </w:num>
  <w:num w:numId="17">
    <w:abstractNumId w:val="36"/>
  </w:num>
  <w:num w:numId="18">
    <w:abstractNumId w:val="12"/>
  </w:num>
  <w:num w:numId="19">
    <w:abstractNumId w:val="38"/>
  </w:num>
  <w:num w:numId="20">
    <w:abstractNumId w:val="22"/>
  </w:num>
  <w:num w:numId="21">
    <w:abstractNumId w:val="26"/>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8"/>
  </w:num>
  <w:num w:numId="36">
    <w:abstractNumId w:val="17"/>
  </w:num>
  <w:num w:numId="37">
    <w:abstractNumId w:val="27"/>
  </w:num>
  <w:num w:numId="38">
    <w:abstractNumId w:val="16"/>
  </w:num>
  <w:num w:numId="39">
    <w:abstractNumId w:val="21"/>
  </w:num>
  <w:num w:numId="40">
    <w:abstractNumId w:val="24"/>
  </w:num>
  <w:num w:numId="41">
    <w:abstractNumId w:val="44"/>
  </w:num>
  <w:num w:numId="42">
    <w:abstractNumId w:val="33"/>
  </w:num>
  <w:num w:numId="43">
    <w:abstractNumId w:val="1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B"/>
    <w:rsid w:val="000117D4"/>
    <w:rsid w:val="00016E46"/>
    <w:rsid w:val="000314D7"/>
    <w:rsid w:val="00035886"/>
    <w:rsid w:val="00045F8B"/>
    <w:rsid w:val="00046D2B"/>
    <w:rsid w:val="000538D7"/>
    <w:rsid w:val="00056263"/>
    <w:rsid w:val="00062BB1"/>
    <w:rsid w:val="00064D8A"/>
    <w:rsid w:val="00064F82"/>
    <w:rsid w:val="00066510"/>
    <w:rsid w:val="00067D6C"/>
    <w:rsid w:val="00073534"/>
    <w:rsid w:val="0007365E"/>
    <w:rsid w:val="00077523"/>
    <w:rsid w:val="0009187A"/>
    <w:rsid w:val="000A6176"/>
    <w:rsid w:val="000C089F"/>
    <w:rsid w:val="000C3928"/>
    <w:rsid w:val="000C5E8E"/>
    <w:rsid w:val="000E2EB7"/>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A5A60"/>
    <w:rsid w:val="001B42C3"/>
    <w:rsid w:val="001C58AF"/>
    <w:rsid w:val="001C5D5E"/>
    <w:rsid w:val="001D0B31"/>
    <w:rsid w:val="001D552E"/>
    <w:rsid w:val="001D678D"/>
    <w:rsid w:val="001E03F8"/>
    <w:rsid w:val="001E1678"/>
    <w:rsid w:val="001E3376"/>
    <w:rsid w:val="002069B3"/>
    <w:rsid w:val="00220DB9"/>
    <w:rsid w:val="002329CF"/>
    <w:rsid w:val="00232F5B"/>
    <w:rsid w:val="00247C29"/>
    <w:rsid w:val="00260467"/>
    <w:rsid w:val="00263EA3"/>
    <w:rsid w:val="00270C92"/>
    <w:rsid w:val="00273A5E"/>
    <w:rsid w:val="002807EC"/>
    <w:rsid w:val="00284F85"/>
    <w:rsid w:val="00290915"/>
    <w:rsid w:val="00290FF8"/>
    <w:rsid w:val="00293B07"/>
    <w:rsid w:val="00295311"/>
    <w:rsid w:val="002A22E2"/>
    <w:rsid w:val="002C64F7"/>
    <w:rsid w:val="002D6F34"/>
    <w:rsid w:val="002F41F2"/>
    <w:rsid w:val="00301BF3"/>
    <w:rsid w:val="0030208D"/>
    <w:rsid w:val="0031412A"/>
    <w:rsid w:val="00323418"/>
    <w:rsid w:val="003357BF"/>
    <w:rsid w:val="00342E15"/>
    <w:rsid w:val="0034623D"/>
    <w:rsid w:val="003530FF"/>
    <w:rsid w:val="0035525B"/>
    <w:rsid w:val="00364FAD"/>
    <w:rsid w:val="0036738F"/>
    <w:rsid w:val="0036759C"/>
    <w:rsid w:val="00367AE5"/>
    <w:rsid w:val="00367D71"/>
    <w:rsid w:val="0038150A"/>
    <w:rsid w:val="003A05CF"/>
    <w:rsid w:val="003A6895"/>
    <w:rsid w:val="003B6E75"/>
    <w:rsid w:val="003B7DA1"/>
    <w:rsid w:val="003C3C1C"/>
    <w:rsid w:val="003C5B80"/>
    <w:rsid w:val="003D0379"/>
    <w:rsid w:val="003D2574"/>
    <w:rsid w:val="003D4C59"/>
    <w:rsid w:val="003F0CC9"/>
    <w:rsid w:val="003F158B"/>
    <w:rsid w:val="003F251A"/>
    <w:rsid w:val="003F4267"/>
    <w:rsid w:val="00404032"/>
    <w:rsid w:val="0040736F"/>
    <w:rsid w:val="004105FA"/>
    <w:rsid w:val="00412C1F"/>
    <w:rsid w:val="00421CB2"/>
    <w:rsid w:val="004268B9"/>
    <w:rsid w:val="00431541"/>
    <w:rsid w:val="004337A7"/>
    <w:rsid w:val="00433B96"/>
    <w:rsid w:val="004440F1"/>
    <w:rsid w:val="004456DD"/>
    <w:rsid w:val="00446CDF"/>
    <w:rsid w:val="004521B7"/>
    <w:rsid w:val="00462AB5"/>
    <w:rsid w:val="00465EAF"/>
    <w:rsid w:val="004738C5"/>
    <w:rsid w:val="0047787E"/>
    <w:rsid w:val="00491046"/>
    <w:rsid w:val="004A2AC7"/>
    <w:rsid w:val="004A6D2F"/>
    <w:rsid w:val="004B0A59"/>
    <w:rsid w:val="004C2887"/>
    <w:rsid w:val="004D2626"/>
    <w:rsid w:val="004D6E26"/>
    <w:rsid w:val="004D77D3"/>
    <w:rsid w:val="004E2959"/>
    <w:rsid w:val="004F20EF"/>
    <w:rsid w:val="0050321C"/>
    <w:rsid w:val="00513B54"/>
    <w:rsid w:val="00527ABF"/>
    <w:rsid w:val="0054712D"/>
    <w:rsid w:val="00547EF6"/>
    <w:rsid w:val="00555AFA"/>
    <w:rsid w:val="005570B5"/>
    <w:rsid w:val="005620B4"/>
    <w:rsid w:val="00567E18"/>
    <w:rsid w:val="00575F5F"/>
    <w:rsid w:val="00581805"/>
    <w:rsid w:val="00585F76"/>
    <w:rsid w:val="00593E50"/>
    <w:rsid w:val="005A34E4"/>
    <w:rsid w:val="005A4D55"/>
    <w:rsid w:val="005B17F2"/>
    <w:rsid w:val="005B7FB0"/>
    <w:rsid w:val="005C35A5"/>
    <w:rsid w:val="005C577C"/>
    <w:rsid w:val="005C7FBE"/>
    <w:rsid w:val="005D0621"/>
    <w:rsid w:val="005D1E27"/>
    <w:rsid w:val="005D2A3E"/>
    <w:rsid w:val="005E022E"/>
    <w:rsid w:val="005E5215"/>
    <w:rsid w:val="005E5D3A"/>
    <w:rsid w:val="005F61A7"/>
    <w:rsid w:val="005F7F7E"/>
    <w:rsid w:val="00607003"/>
    <w:rsid w:val="00613449"/>
    <w:rsid w:val="00614018"/>
    <w:rsid w:val="00614693"/>
    <w:rsid w:val="00623C2F"/>
    <w:rsid w:val="00625BFC"/>
    <w:rsid w:val="00633578"/>
    <w:rsid w:val="00637068"/>
    <w:rsid w:val="00645BB8"/>
    <w:rsid w:val="00650811"/>
    <w:rsid w:val="00656186"/>
    <w:rsid w:val="00661D3E"/>
    <w:rsid w:val="006904A6"/>
    <w:rsid w:val="00692627"/>
    <w:rsid w:val="0069476D"/>
    <w:rsid w:val="006969E7"/>
    <w:rsid w:val="006A3643"/>
    <w:rsid w:val="006A5CCC"/>
    <w:rsid w:val="006B2AD0"/>
    <w:rsid w:val="006C2A29"/>
    <w:rsid w:val="006C64CF"/>
    <w:rsid w:val="006D17B1"/>
    <w:rsid w:val="006D4752"/>
    <w:rsid w:val="006D708A"/>
    <w:rsid w:val="006E14C1"/>
    <w:rsid w:val="006F0292"/>
    <w:rsid w:val="006F27FA"/>
    <w:rsid w:val="006F416B"/>
    <w:rsid w:val="006F519B"/>
    <w:rsid w:val="00701BCE"/>
    <w:rsid w:val="00703136"/>
    <w:rsid w:val="00713675"/>
    <w:rsid w:val="007151B0"/>
    <w:rsid w:val="00715823"/>
    <w:rsid w:val="007322EC"/>
    <w:rsid w:val="00733CB3"/>
    <w:rsid w:val="00737B93"/>
    <w:rsid w:val="00745BF0"/>
    <w:rsid w:val="007615FE"/>
    <w:rsid w:val="007637BE"/>
    <w:rsid w:val="0076655C"/>
    <w:rsid w:val="007742DC"/>
    <w:rsid w:val="00790301"/>
    <w:rsid w:val="00791437"/>
    <w:rsid w:val="00793E1B"/>
    <w:rsid w:val="007A2E34"/>
    <w:rsid w:val="007B0C2C"/>
    <w:rsid w:val="007B278E"/>
    <w:rsid w:val="007B47A7"/>
    <w:rsid w:val="007C38BE"/>
    <w:rsid w:val="007C5C23"/>
    <w:rsid w:val="007E2A26"/>
    <w:rsid w:val="007F2348"/>
    <w:rsid w:val="00803F07"/>
    <w:rsid w:val="00805E26"/>
    <w:rsid w:val="0080749A"/>
    <w:rsid w:val="0080783C"/>
    <w:rsid w:val="00811B14"/>
    <w:rsid w:val="00821FB8"/>
    <w:rsid w:val="00822ACD"/>
    <w:rsid w:val="00835BF4"/>
    <w:rsid w:val="008411D8"/>
    <w:rsid w:val="00843555"/>
    <w:rsid w:val="00855C66"/>
    <w:rsid w:val="00871EE4"/>
    <w:rsid w:val="00873FC6"/>
    <w:rsid w:val="00881D31"/>
    <w:rsid w:val="00892591"/>
    <w:rsid w:val="008A528A"/>
    <w:rsid w:val="008A5929"/>
    <w:rsid w:val="008B293F"/>
    <w:rsid w:val="008B7371"/>
    <w:rsid w:val="008D3DDB"/>
    <w:rsid w:val="008D3F98"/>
    <w:rsid w:val="008F573F"/>
    <w:rsid w:val="009034EC"/>
    <w:rsid w:val="00916D33"/>
    <w:rsid w:val="0093067A"/>
    <w:rsid w:val="009406A0"/>
    <w:rsid w:val="00941C60"/>
    <w:rsid w:val="00950F33"/>
    <w:rsid w:val="00962613"/>
    <w:rsid w:val="00966D42"/>
    <w:rsid w:val="00971689"/>
    <w:rsid w:val="00973E90"/>
    <w:rsid w:val="00975B07"/>
    <w:rsid w:val="00980B4A"/>
    <w:rsid w:val="00995675"/>
    <w:rsid w:val="00997B37"/>
    <w:rsid w:val="009A22F8"/>
    <w:rsid w:val="009B3081"/>
    <w:rsid w:val="009D469F"/>
    <w:rsid w:val="009E3D0A"/>
    <w:rsid w:val="009E51FC"/>
    <w:rsid w:val="009E5620"/>
    <w:rsid w:val="009F1D28"/>
    <w:rsid w:val="009F7618"/>
    <w:rsid w:val="00A04D23"/>
    <w:rsid w:val="00A06766"/>
    <w:rsid w:val="00A13765"/>
    <w:rsid w:val="00A21B12"/>
    <w:rsid w:val="00A23F80"/>
    <w:rsid w:val="00A35415"/>
    <w:rsid w:val="00A46E98"/>
    <w:rsid w:val="00A4763B"/>
    <w:rsid w:val="00A575B1"/>
    <w:rsid w:val="00A6352B"/>
    <w:rsid w:val="00A701B5"/>
    <w:rsid w:val="00A714BB"/>
    <w:rsid w:val="00A834EE"/>
    <w:rsid w:val="00A92D8F"/>
    <w:rsid w:val="00AB1FBE"/>
    <w:rsid w:val="00AB20E8"/>
    <w:rsid w:val="00AB22F6"/>
    <w:rsid w:val="00AB2988"/>
    <w:rsid w:val="00AB7999"/>
    <w:rsid w:val="00AD3292"/>
    <w:rsid w:val="00AE609B"/>
    <w:rsid w:val="00AE7AF0"/>
    <w:rsid w:val="00B3105C"/>
    <w:rsid w:val="00B44489"/>
    <w:rsid w:val="00B47040"/>
    <w:rsid w:val="00B500CA"/>
    <w:rsid w:val="00B55E94"/>
    <w:rsid w:val="00B62505"/>
    <w:rsid w:val="00B67CCB"/>
    <w:rsid w:val="00B86314"/>
    <w:rsid w:val="00B918CC"/>
    <w:rsid w:val="00B936A5"/>
    <w:rsid w:val="00B95C3B"/>
    <w:rsid w:val="00BA0B0E"/>
    <w:rsid w:val="00BA115B"/>
    <w:rsid w:val="00BA1C2E"/>
    <w:rsid w:val="00BB4A96"/>
    <w:rsid w:val="00BC200B"/>
    <w:rsid w:val="00BC4756"/>
    <w:rsid w:val="00BC671D"/>
    <w:rsid w:val="00BC69A4"/>
    <w:rsid w:val="00BE0680"/>
    <w:rsid w:val="00BE305F"/>
    <w:rsid w:val="00BE7BA3"/>
    <w:rsid w:val="00BF4DE5"/>
    <w:rsid w:val="00BF5682"/>
    <w:rsid w:val="00BF7B09"/>
    <w:rsid w:val="00C042FA"/>
    <w:rsid w:val="00C06C57"/>
    <w:rsid w:val="00C123C3"/>
    <w:rsid w:val="00C12E98"/>
    <w:rsid w:val="00C20A95"/>
    <w:rsid w:val="00C246EF"/>
    <w:rsid w:val="00C2692F"/>
    <w:rsid w:val="00C3207C"/>
    <w:rsid w:val="00C400E1"/>
    <w:rsid w:val="00C41187"/>
    <w:rsid w:val="00C42752"/>
    <w:rsid w:val="00C51932"/>
    <w:rsid w:val="00C63C31"/>
    <w:rsid w:val="00C63C3B"/>
    <w:rsid w:val="00C73D6B"/>
    <w:rsid w:val="00C757A0"/>
    <w:rsid w:val="00C760DE"/>
    <w:rsid w:val="00C82630"/>
    <w:rsid w:val="00C85B4E"/>
    <w:rsid w:val="00C907F7"/>
    <w:rsid w:val="00C95E1A"/>
    <w:rsid w:val="00CA2103"/>
    <w:rsid w:val="00CA5357"/>
    <w:rsid w:val="00CB6B99"/>
    <w:rsid w:val="00CE4C87"/>
    <w:rsid w:val="00CE544A"/>
    <w:rsid w:val="00CE6151"/>
    <w:rsid w:val="00D078A9"/>
    <w:rsid w:val="00D11E1C"/>
    <w:rsid w:val="00D160B0"/>
    <w:rsid w:val="00D17F94"/>
    <w:rsid w:val="00D21514"/>
    <w:rsid w:val="00D223FC"/>
    <w:rsid w:val="00D23EA2"/>
    <w:rsid w:val="00D23FCA"/>
    <w:rsid w:val="00D25AD1"/>
    <w:rsid w:val="00D26D1E"/>
    <w:rsid w:val="00D3675F"/>
    <w:rsid w:val="00D44F17"/>
    <w:rsid w:val="00D474CF"/>
    <w:rsid w:val="00D514E7"/>
    <w:rsid w:val="00D5547E"/>
    <w:rsid w:val="00D6291F"/>
    <w:rsid w:val="00D64035"/>
    <w:rsid w:val="00D83344"/>
    <w:rsid w:val="00D84C7A"/>
    <w:rsid w:val="00D85237"/>
    <w:rsid w:val="00D869A1"/>
    <w:rsid w:val="00DA40E3"/>
    <w:rsid w:val="00DA413F"/>
    <w:rsid w:val="00DA4584"/>
    <w:rsid w:val="00DA614B"/>
    <w:rsid w:val="00DA68A1"/>
    <w:rsid w:val="00DC3060"/>
    <w:rsid w:val="00DC51F0"/>
    <w:rsid w:val="00DC7F59"/>
    <w:rsid w:val="00DD068B"/>
    <w:rsid w:val="00DE0FB2"/>
    <w:rsid w:val="00DF093E"/>
    <w:rsid w:val="00E01F42"/>
    <w:rsid w:val="00E039CD"/>
    <w:rsid w:val="00E206D6"/>
    <w:rsid w:val="00E20FA7"/>
    <w:rsid w:val="00E258F2"/>
    <w:rsid w:val="00E3366E"/>
    <w:rsid w:val="00E52086"/>
    <w:rsid w:val="00E543A6"/>
    <w:rsid w:val="00E60479"/>
    <w:rsid w:val="00E61D73"/>
    <w:rsid w:val="00E715C7"/>
    <w:rsid w:val="00E73684"/>
    <w:rsid w:val="00E818D6"/>
    <w:rsid w:val="00E87A20"/>
    <w:rsid w:val="00E87F7A"/>
    <w:rsid w:val="00E96BD7"/>
    <w:rsid w:val="00EA0DB1"/>
    <w:rsid w:val="00EA0EE9"/>
    <w:rsid w:val="00EC6D62"/>
    <w:rsid w:val="00ED52CA"/>
    <w:rsid w:val="00ED5860"/>
    <w:rsid w:val="00EE35C9"/>
    <w:rsid w:val="00EF7492"/>
    <w:rsid w:val="00F05ECA"/>
    <w:rsid w:val="00F3566E"/>
    <w:rsid w:val="00F375FB"/>
    <w:rsid w:val="00F41AC1"/>
    <w:rsid w:val="00F4367A"/>
    <w:rsid w:val="00F440BF"/>
    <w:rsid w:val="00F445B1"/>
    <w:rsid w:val="00F45CD4"/>
    <w:rsid w:val="00F6310A"/>
    <w:rsid w:val="00F66DCA"/>
    <w:rsid w:val="00F74F53"/>
    <w:rsid w:val="00F750AD"/>
    <w:rsid w:val="00F7606D"/>
    <w:rsid w:val="00F81670"/>
    <w:rsid w:val="00F82024"/>
    <w:rsid w:val="00F92D61"/>
    <w:rsid w:val="00F95BC9"/>
    <w:rsid w:val="00F96D9E"/>
    <w:rsid w:val="00FA624C"/>
    <w:rsid w:val="00FA6720"/>
    <w:rsid w:val="00FB0487"/>
    <w:rsid w:val="00FB57B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C19FEF"/>
  <w15:docId w15:val="{6D593894-54AC-41CD-A9E6-3139DB0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39871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0002559">
      <w:bodyDiv w:val="1"/>
      <w:marLeft w:val="0"/>
      <w:marRight w:val="0"/>
      <w:marTop w:val="0"/>
      <w:marBottom w:val="0"/>
      <w:divBdr>
        <w:top w:val="none" w:sz="0" w:space="0" w:color="auto"/>
        <w:left w:val="none" w:sz="0" w:space="0" w:color="auto"/>
        <w:bottom w:val="none" w:sz="0" w:space="0" w:color="auto"/>
        <w:right w:val="none" w:sz="0" w:space="0" w:color="auto"/>
      </w:divBdr>
    </w:div>
    <w:div w:id="1839081207">
      <w:bodyDiv w:val="1"/>
      <w:marLeft w:val="0"/>
      <w:marRight w:val="0"/>
      <w:marTop w:val="0"/>
      <w:marBottom w:val="0"/>
      <w:divBdr>
        <w:top w:val="none" w:sz="0" w:space="0" w:color="auto"/>
        <w:left w:val="none" w:sz="0" w:space="0" w:color="auto"/>
        <w:bottom w:val="none" w:sz="0" w:space="0" w:color="auto"/>
        <w:right w:val="none" w:sz="0" w:space="0" w:color="auto"/>
      </w:divBdr>
    </w:div>
    <w:div w:id="21081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3742-CDD6-4674-9A7E-F6B7A866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73</TotalTime>
  <Pages>4</Pages>
  <Words>1208</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COURTNEY Alice</cp:lastModifiedBy>
  <cp:revision>10</cp:revision>
  <cp:lastPrinted>2020-01-13T12:08:00Z</cp:lastPrinted>
  <dcterms:created xsi:type="dcterms:W3CDTF">2022-01-20T15:23:00Z</dcterms:created>
  <dcterms:modified xsi:type="dcterms:W3CDTF">2023-03-08T09:11:00Z</dcterms:modified>
</cp:coreProperties>
</file>